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3D3A" w:val="clear"/>
            <w:tcMar>
              <w:top w:type="dxa" w:w="500"/>
              <w:left w:type="dxa" w:w="600"/>
              <w:bottom w:type="dxa" w:w="500"/>
              <w:right w:type="dxa" w:w="600"/>
            </w:tcMar>
          </w:tcPr>
          <w:p>
            <w:pPr>
              <w:spacing w:after="1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DR. MED. FELIX  HARTMANN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8DADC"/>
                <w:sz w:val="22"/>
                <w:szCs w:val="22"/>
              </w:rPr>
              <w:t xml:space="preserve">Facharzt für Innere Medizin  |  Schwerpunkt Kardiologie &amp; Intensivmedizin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7F7" w:val="clear"/>
            <w:tcMar>
              <w:top w:type="dxa" w:w="400"/>
              <w:left w:type="dxa" w:w="380"/>
              <w:bottom w:type="dxa" w:w="500"/>
              <w:right w:type="dxa" w:w="340"/>
            </w:tcMar>
            <w:vAlign w:val="top"/>
          </w:tcPr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2A9D8F" w:sz="4" w:space="2"/>
              </w:pBdr>
              <w:spacing w:after="80" w:before="0"/>
            </w:pP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A9D8F"/>
                <w:sz w:val="17"/>
                <w:szCs w:val="17"/>
              </w:rPr>
              <w:t xml:space="preserve">📅  </w:t>
            </w: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17. Februar 1983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A9D8F"/>
                <w:sz w:val="17"/>
                <w:szCs w:val="17"/>
              </w:rPr>
              <w:t xml:space="preserve">📍  </w:t>
            </w: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München, Deutschland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A9D8F"/>
                <w:sz w:val="17"/>
                <w:szCs w:val="17"/>
              </w:rPr>
              <w:t xml:space="preserve">🚗  </w:t>
            </w: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Führerschein Kl. B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A9D8F"/>
                <w:sz w:val="17"/>
                <w:szCs w:val="17"/>
              </w:rPr>
              <w:t xml:space="preserve">🧬  </w:t>
            </w: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Approbation: 2010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17"/>
                <w:szCs w:val="17"/>
              </w:rPr>
              <w:t xml:space="preserve">KONTAKT</w:t>
            </w:r>
          </w:p>
          <w:p>
            <w:pPr>
              <w:pBdr>
                <w:bottom w:val="single" w:color="2A9D8F" w:sz="4" w:space="2"/>
              </w:pBdr>
              <w:spacing w:after="80" w:before="0"/>
            </w:pP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A9D8F"/>
                <w:sz w:val="17"/>
                <w:szCs w:val="17"/>
              </w:rPr>
              <w:t xml:space="preserve">📞  </w:t>
            </w: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+49 89 45 72 831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A9D8F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f.hartmann@arztmail.de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A9D8F"/>
                <w:sz w:val="17"/>
                <w:szCs w:val="17"/>
              </w:rPr>
              <w:t xml:space="preserve">🔗  </w:t>
            </w: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xing.com/in/felixhartmann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A9D8F"/>
                <w:sz w:val="17"/>
                <w:szCs w:val="17"/>
              </w:rPr>
              <w:t xml:space="preserve">📍  </w:t>
            </w: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Klinikum Großhadern, München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2A9D8F" w:sz="4" w:space="2"/>
              </w:pBdr>
              <w:spacing w:after="80" w:before="0"/>
            </w:pP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Deutsch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Englisch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Spanisch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B2D8D8"/>
                <w:sz w:val="18"/>
                <w:szCs w:val="18"/>
              </w:rPr>
              <w:t xml:space="preserve">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B2D8D8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Lateinisch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B2D8D8"/>
                <w:sz w:val="18"/>
                <w:szCs w:val="18"/>
              </w:rPr>
              <w:t xml:space="preserve">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B2D8D8"/>
                <w:sz w:val="18"/>
                <w:szCs w:val="18"/>
              </w:rPr>
              <w:t xml:space="preserve">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B2D8D8"/>
                <w:sz w:val="18"/>
                <w:szCs w:val="18"/>
              </w:rPr>
              <w:t xml:space="preserve">○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17"/>
                <w:szCs w:val="17"/>
              </w:rPr>
              <w:t xml:space="preserve">EDV-KENNTNISSE</w:t>
            </w:r>
          </w:p>
          <w:p>
            <w:pPr>
              <w:pBdr>
                <w:bottom w:val="single" w:color="2A9D8F" w:sz="4" w:space="2"/>
              </w:pBdr>
              <w:spacing w:after="80" w:before="0"/>
            </w:pP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SAP IS-H / Orbis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B2D8D8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CPOE / KIS-Systeme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B2D8D8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EKG-Auswertung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Echokardiographie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2700"/>
              </w:tabs>
              <w:spacing w:after="40" w:before="5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MS Office / Word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2A9D8F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B2D8D8"/>
                <w:sz w:val="18"/>
                <w:szCs w:val="18"/>
              </w:rPr>
              <w:t xml:space="preserve">○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17"/>
                <w:szCs w:val="17"/>
              </w:rPr>
              <w:t xml:space="preserve">FACHGEBIETE</w:t>
            </w:r>
          </w:p>
          <w:p>
            <w:pPr>
              <w:pBdr>
                <w:bottom w:val="single" w:color="2A9D8F" w:sz="4" w:space="2"/>
              </w:pBdr>
              <w:spacing w:after="80" w:before="0"/>
            </w:pP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Kardiologie &amp; Rhythmologie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Intensivmedizin (DIVI)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Notaufnahme &amp; Schockraum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Sonographie &amp; Echokardiographie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0D2626"/>
                <w:sz w:val="17"/>
                <w:szCs w:val="17"/>
              </w:rPr>
              <w:t xml:space="preserve">Palliativmedizin</w:t>
            </w:r>
          </w:p>
          <w:p>
            <w:pP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17"/>
                <w:szCs w:val="17"/>
              </w:rPr>
              <w:t xml:space="preserve">REFERENZEN</w:t>
            </w:r>
          </w:p>
          <w:p>
            <w:pPr>
              <w:pBdr>
                <w:bottom w:val="single" w:color="2A9D8F" w:sz="4" w:space="2"/>
              </w:pBdr>
              <w:spacing w:after="80" w:before="0"/>
            </w:pPr>
          </w:p>
          <w:p>
            <w:pPr>
              <w:spacing w:after="20" w:before="50"/>
            </w:pPr>
            <w:r>
              <w:rPr>
                <w:rFonts w:ascii="Calibri" w:cs="Calibri" w:eastAsia="Calibri" w:hAnsi="Calibri"/>
                <w:i/>
                <w:iCs/>
                <w:color w:val="3D6B6B"/>
                <w:sz w:val="17"/>
                <w:szCs w:val="17"/>
              </w:rPr>
              <w:t xml:space="preserve">Auf Anfrage verfügbar</w:t>
            </w:r>
          </w:p>
        </w:tc>
        <w:tc>
          <w:tcPr>
            <w:tcW w:type="dxa" w:w="8606"/>
            <w:tcBorders>
              <w:top w:val="none" w:color="FFFFFF" w:sz="0"/>
              <w:left w:val="single" w:color="A8DADC" w:sz="6"/>
              <w:bottom w:val="none" w:color="FFFFFF" w:sz="0"/>
              <w:right w:val="none" w:color="FFFFFF" w:sz="0"/>
            </w:tcBorders>
            <w:shd w:fill="FFFFFF" w:val="clear"/>
            <w:tcMar>
              <w:top w:type="dxa" w:w="380"/>
              <w:left w:type="dxa" w:w="480"/>
              <w:bottom w:type="dxa" w:w="500"/>
              <w:right w:type="dxa" w:w="520"/>
            </w:tcMar>
            <w:vAlign w:val="top"/>
          </w:tcPr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20"/>
                <w:szCs w:val="20"/>
              </w:rPr>
              <w:t xml:space="preserve">BERUFSERFAHRUNG</w:t>
            </w:r>
          </w:p>
          <w:p>
            <w:pPr>
              <w:pBdr>
                <w:bottom w:val="single" w:color="2A9D8F" w:sz="6" w:space="2"/>
              </w:pBdr>
              <w:spacing w:after="120" w:before="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0D2626"/>
                <w:sz w:val="20"/>
                <w:szCs w:val="20"/>
              </w:rPr>
              <w:t xml:space="preserve">Oberarzt – Kardiologie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07/2019 – heute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A9D8F"/>
                <w:sz w:val="18"/>
                <w:szCs w:val="18"/>
              </w:rPr>
              <w:t xml:space="preserve">▶  LMU Klinikum München (Großhadern)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Leitung des kardiologischen Bereitschaftsdienstes und des Herzkatheterlabors (ca. 800 Eingriffe/Jahr)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Supervision und Ausbildung von 6 Assistenzärzten im Rotationsprogramm Innere Medizin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Einführung eines standardisierten STEMI-Protokolls: Door-to-balloon-Zeit von 92 auf 61 Minuten reduziert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Interdisziplinäre Mitarbeit im Herzinsuffizienz-Board und der Chest Pain Unit (CPU, Level 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Gutachtertätigkeit für die Bayerische Landesärztekammer seit 2021</w:t>
            </w:r>
          </w:p>
          <w:p>
            <w:pPr>
              <w:pBdr>
                <w:bottom w:val="dotted" w:color="B2D8D8" w:sz="2" w:space="2"/>
              </w:pBdr>
              <w:spacing w:after="0" w:before="8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0D2626"/>
                <w:sz w:val="20"/>
                <w:szCs w:val="20"/>
              </w:rPr>
              <w:t xml:space="preserve">Assistenzarzt – Innere Medizin &amp; Kardiologie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10/2013 – 06/2019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A9D8F"/>
                <w:sz w:val="18"/>
                <w:szCs w:val="18"/>
              </w:rPr>
              <w:t xml:space="preserve">▶  Klinikum rechts der Isar, TU München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Stationäre Versorgung kardiologischer und allgemeininternistischer Patienten (30-Betten-Station)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Ausbildung zum Facharzt für Innere Medizin mit Schwerpunkt Kardiologie (Abschluss: 2017)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Durchführung und Befundung von Echokardiographien, Belastungs-EKGs und Langzeit-EKGs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Teilnahme am Schockraum- und Reanimationsteam (&gt; 200 Einsätze)</w:t>
            </w:r>
          </w:p>
          <w:p>
            <w:pPr>
              <w:pBdr>
                <w:bottom w:val="dotted" w:color="B2D8D8" w:sz="2" w:space="2"/>
              </w:pBdr>
              <w:spacing w:after="0" w:before="8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0D2626"/>
                <w:sz w:val="20"/>
                <w:szCs w:val="20"/>
              </w:rPr>
              <w:t xml:space="preserve">Medizinalassistent / Praktisches Jahr (PJ)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10/2008 – 09/2009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A9D8F"/>
                <w:sz w:val="18"/>
                <w:szCs w:val="18"/>
              </w:rPr>
              <w:t xml:space="preserve">▶  Charité – Universitätsmedizin Berlin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PJ-Tertiale: Innere Medizin (Charité Mitte), Chirurgie (Campus Virchow) und Neurologie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Auszeichnung als bester PJ-Absolvent des Jahrgangs durch die Charité-Studiendekanin</w:t>
            </w:r>
          </w:p>
          <w:p>
            <w:pPr>
              <w:pBdr>
                <w:bottom w:val="dotted" w:color="B2D8D8" w:sz="2" w:space="2"/>
              </w:pBdr>
              <w:spacing w:after="0" w:before="80"/>
            </w:pP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20"/>
                <w:szCs w:val="20"/>
              </w:rPr>
              <w:t xml:space="preserve">AUSBILDUNG &amp; STUDIUM</w:t>
            </w:r>
          </w:p>
          <w:p>
            <w:pPr>
              <w:pBdr>
                <w:bottom w:val="single" w:color="2A9D8F" w:sz="6" w:space="2"/>
              </w:pBdr>
              <w:spacing w:after="120" w:before="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0D2626"/>
                <w:sz w:val="20"/>
                <w:szCs w:val="20"/>
              </w:rPr>
              <w:t xml:space="preserve">Facharzt für Innere Medizin – Kardiologie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2017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A9D8F"/>
                <w:sz w:val="18"/>
                <w:szCs w:val="18"/>
              </w:rPr>
              <w:t xml:space="preserve">▶  Ärztekammer Bayern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3D6B6B"/>
                <w:sz w:val="17"/>
                <w:szCs w:val="17"/>
              </w:rPr>
              <w:t xml:space="preserve">Schwerpunktbezeichnung Kardiologie nach 6 Jahren strukturierter Weiterbildung</w:t>
            </w:r>
          </w:p>
          <w:p>
            <w:pPr>
              <w:pBdr>
                <w:bottom w:val="dotted" w:color="B2D8D8" w:sz="2" w:space="2"/>
              </w:pBdr>
              <w:spacing w:after="0" w:before="6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0D2626"/>
                <w:sz w:val="20"/>
                <w:szCs w:val="20"/>
              </w:rPr>
              <w:t xml:space="preserve">Promotion (Dr. med.)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2012 – 2014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A9D8F"/>
                <w:sz w:val="18"/>
                <w:szCs w:val="18"/>
              </w:rPr>
              <w:t xml:space="preserve">▶  Ludwig-Maximilians-Universität München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3D6B6B"/>
                <w:sz w:val="17"/>
                <w:szCs w:val="17"/>
              </w:rPr>
              <w:t xml:space="preserve">Dissertation: "Prognostische Bedeutung von NT-proBNP bei akutem Koronarsyndrom" – summa cum laude</w:t>
            </w:r>
          </w:p>
          <w:p>
            <w:pPr>
              <w:pBdr>
                <w:bottom w:val="dotted" w:color="B2D8D8" w:sz="2" w:space="2"/>
              </w:pBdr>
              <w:spacing w:after="0" w:before="60"/>
            </w:pPr>
          </w:p>
          <w:p>
            <w:pPr>
              <w:tabs>
                <w:tab w:val="right" w:pos="78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0D2626"/>
                <w:sz w:val="20"/>
                <w:szCs w:val="20"/>
              </w:rPr>
              <w:t xml:space="preserve">Studium der Humanmedizin (Staatsexamen)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2003 – 2009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A9D8F"/>
                <w:sz w:val="18"/>
                <w:szCs w:val="18"/>
              </w:rPr>
              <w:t xml:space="preserve">▶  Ruprecht-Karls-Universität Heidelberg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3D6B6B"/>
                <w:sz w:val="17"/>
                <w:szCs w:val="17"/>
              </w:rPr>
              <w:t xml:space="preserve">Abschlussnote: sehr gut (1,5) | Auslandssemester: Universidad de Navarra, Pamplona</w:t>
            </w:r>
          </w:p>
          <w:p>
            <w:pPr>
              <w:pBdr>
                <w:bottom w:val="dotted" w:color="B2D8D8" w:sz="2" w:space="2"/>
              </w:pBdr>
              <w:spacing w:after="0" w:before="60"/>
            </w:pP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20"/>
                <w:szCs w:val="20"/>
              </w:rPr>
              <w:t xml:space="preserve">ZERTIFIKATE &amp; WEITERBILDUNGEN</w:t>
            </w:r>
          </w:p>
          <w:p>
            <w:pPr>
              <w:pBdr>
                <w:bottom w:val="single" w:color="2A9D8F" w:sz="6" w:space="2"/>
              </w:pBdr>
              <w:spacing w:after="120" w:before="0"/>
            </w:pPr>
          </w:p>
          <w:p>
            <w:pPr>
              <w:tabs>
                <w:tab w:val="right" w:pos="7800"/>
              </w:tabs>
              <w:spacing w:after="50" w:before="40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▸  Zusatzbezeichnung Intensivmedizin (DIVI) – Ärztekammer Bayern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	2020</w:t>
            </w:r>
          </w:p>
          <w:p>
            <w:pPr>
              <w:tabs>
                <w:tab w:val="right" w:pos="7800"/>
              </w:tabs>
              <w:spacing w:after="50" w:before="40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▸  Zusatzbezeichnung Notfallmedizin – BÄK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	2016</w:t>
            </w:r>
          </w:p>
          <w:p>
            <w:pPr>
              <w:tabs>
                <w:tab w:val="right" w:pos="7800"/>
              </w:tabs>
              <w:spacing w:after="50" w:before="40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▸  Zertifizierter ACLS-Instruktor – American Heart Association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	2018</w:t>
            </w:r>
          </w:p>
          <w:p>
            <w:pPr>
              <w:tabs>
                <w:tab w:val="right" w:pos="7800"/>
              </w:tabs>
              <w:spacing w:after="50" w:before="40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▸  Palliativmedizin (Basiskurs, 40 Std.) – Deutsche Gesellschaft für Palliativmedizin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	2015</w:t>
            </w:r>
          </w:p>
          <w:p>
            <w:pPr>
              <w:tabs>
                <w:tab w:val="right" w:pos="7800"/>
              </w:tabs>
              <w:spacing w:after="50" w:before="40"/>
            </w:pPr>
            <w:r>
              <w:rPr>
                <w:rFonts w:ascii="Calibri" w:cs="Calibri" w:eastAsia="Calibri" w:hAnsi="Calibri"/>
                <w:color w:val="0D2626"/>
                <w:sz w:val="18"/>
                <w:szCs w:val="18"/>
              </w:rPr>
              <w:t xml:space="preserve">▸  Good Clinical Practice (GCP) – Bundesinstitut für Arzneimittel</w:t>
            </w:r>
            <w:r>
              <w:rPr>
                <w:rFonts w:ascii="Calibri" w:cs="Calibri" w:eastAsia="Calibri" w:hAnsi="Calibri"/>
                <w:i/>
                <w:iCs/>
                <w:color w:val="2A9D8F"/>
                <w:sz w:val="17"/>
                <w:szCs w:val="17"/>
              </w:rPr>
              <w:t xml:space="preserve">	2013</w:t>
            </w: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0D3D3A"/>
                <w:spacing w:val="60"/>
                <w:sz w:val="20"/>
                <w:szCs w:val="20"/>
              </w:rPr>
              <w:t xml:space="preserve">WISSENSCHAFT &amp; PUBLIKATIONEN</w:t>
            </w:r>
          </w:p>
          <w:p>
            <w:pPr>
              <w:pBdr>
                <w:bottom w:val="single" w:color="2A9D8F" w:sz="6" w:space="2"/>
              </w:pBdr>
              <w:spacing w:after="120" w:before="0"/>
            </w:pP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0D2626"/>
                <w:sz w:val="18"/>
                <w:szCs w:val="18"/>
              </w:rPr>
              <w:t xml:space="preserve">Hartmann F. et al. (2023): </w:t>
            </w:r>
            <w:r>
              <w:rPr>
                <w:rFonts w:ascii="Calibri" w:cs="Calibri" w:eastAsia="Calibri" w:hAnsi="Calibri"/>
                <w:color w:val="3D6B6B"/>
                <w:sz w:val="18"/>
                <w:szCs w:val="18"/>
              </w:rPr>
              <w:t xml:space="preserve">"Outcome after primary PCI in octogenarians – a 5-year single-center analysis." European Heart Journal, Vol. 44(Suppl.).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0D2626"/>
                <w:sz w:val="18"/>
                <w:szCs w:val="18"/>
              </w:rPr>
              <w:t xml:space="preserve">Hartmann F. et al. (2021): </w:t>
            </w:r>
            <w:r>
              <w:rPr>
                <w:rFonts w:ascii="Calibri" w:cs="Calibri" w:eastAsia="Calibri" w:hAnsi="Calibri"/>
                <w:color w:val="3D6B6B"/>
                <w:sz w:val="18"/>
                <w:szCs w:val="18"/>
              </w:rPr>
              <w:t xml:space="preserve">"NT-proBNP als unabhängiger Prädiktor bei NSTEMI." Zeitschrift für Kardiologie, 18(3), S. 112–119.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/>
                <w:iCs/>
                <w:color w:val="8ABAAD"/>
                <w:sz w:val="17"/>
                <w:szCs w:val="17"/>
              </w:rPr>
              <w:t xml:space="preserve">Kongressvortrag DGK Mannheim 2022, Posterpreis ESC Barcelona 2019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80" w:hanging="240"/>
      </w:pPr>
      <w:rPr>
        <w:rFonts w:ascii="Calibri" w:cs="Calibri" w:eastAsia="Calibri" w:hAnsi="Calibri"/>
        <w:color w:val="2A9D8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2026-04-12T06:10:29.329Z</dcterms:created>
  <dcterms:modified xsi:type="dcterms:W3CDTF">2026-04-12T06:10:29.330Z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