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800"/>
        <w:gridCol w:w="6406"/>
        <w:gridCol w:w="27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B35" w:val="clear"/>
            <w:tcMar>
              <w:top w:type="dxa" w:w="360"/>
              <w:left w:type="dxa" w:w="320"/>
              <w:bottom w:type="dxa" w:w="32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Thomas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Bergmann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A8A4BE"/>
                <w:sz w:val="19"/>
                <w:szCs w:val="19"/>
              </w:rPr>
              <w:t xml:space="preserve">Kaufmännischer Leiter</w:t>
            </w:r>
          </w:p>
        </w:tc>
        <w:tc>
          <w:tcPr>
            <w:tcW w:type="dxa" w:w="6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2D3E" w:val="clear"/>
            <w:tcMar>
              <w:top w:type="dxa" w:w="300"/>
              <w:left w:type="dxa" w:w="340"/>
              <w:bottom w:type="dxa" w:w="300"/>
              <w:right w:type="dxa" w:w="300"/>
            </w:tcMar>
            <w:vAlign w:val="center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25+ Jahre Berufserfahrung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DCFD5"/>
                <w:sz w:val="18"/>
                <w:szCs w:val="18"/>
              </w:rPr>
              <w:t xml:space="preserve">Finanzen  ·  Controlling  ·  Personalführung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EDCFD5"/>
                <w:sz w:val="18"/>
                <w:szCs w:val="18"/>
              </w:rPr>
              <w:t xml:space="preserve">Strategisches Management  ·  SAP  ·  Change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E3E50" w:val="clear"/>
            <w:tcMar>
              <w:top w:type="dxa" w:w="300"/>
              <w:left w:type="dxa" w:w="260"/>
              <w:bottom w:type="dxa" w:w="300"/>
              <w:right w:type="dxa" w:w="260"/>
            </w:tcMar>
            <w:vAlign w:val="center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t.bergmann@mail.de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0171 456 789 01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Rosenstraße 44 · 80333 München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A8A4BE"/>
                <w:sz w:val="16"/>
                <w:szCs w:val="16"/>
              </w:rPr>
              <w:t xml:space="preserve">geb. 17.04.1972 · verheiratet · 2 Kinder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800"/>
        <w:gridCol w:w="6406"/>
        <w:gridCol w:w="27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B35" w:val="clear"/>
            <w:tcMar>
              <w:top w:type="dxa" w:w="0"/>
              <w:left w:type="dxa" w:w="280"/>
              <w:bottom w:type="dxa" w:w="400"/>
              <w:right w:type="dxa" w:w="240"/>
            </w:tcMar>
            <w:vAlign w:val="top"/>
          </w:tcPr>
          <w:p>
            <w:pPr>
              <w:pBdr>
                <w:top w:val="single" w:color="3E3E50" w:sz="3"/>
                <w:bottom w:val="single" w:color="3E3E50" w:sz="3"/>
                <w:left w:val="single" w:color="3E3E50" w:sz="3"/>
                <w:right w:val="single" w:color="3E3E50" w:sz="3"/>
              </w:pBdr>
              <w:spacing w:after="160" w:befor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67788"/>
                <w:sz w:val="16"/>
                <w:szCs w:val="16"/>
              </w:rPr>
              <w:t xml:space="preserve"> Bewerbungsfoto 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KOMPETENZEN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Strategische Planung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Controlling &amp; Reporting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Personalführung (45 MA)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Prozessoptimierung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Change Management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Lieferantenmanagement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M&amp;A / Due Diligence</w:t>
            </w:r>
          </w:p>
          <w:p>
            <w:pPr>
              <w:spacing w:after="14" w:before="44"/>
            </w:pPr>
            <w:r>
              <w:rPr>
                <w:rFonts w:ascii="Calibri" w:cs="Calibri" w:eastAsia="Calibri" w:hAnsi="Calibri"/>
                <w:color w:val="B06070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Budgetverantwortung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EDV-KENNTNISSE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SAP FI/CO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/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MS Excel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/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PowerPoint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DATEV   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Salesforce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○○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Power BI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○○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SPRACHEN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Deutsch 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/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Englisch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</w:t>
            </w:r>
          </w:p>
          <w:p>
            <w:pPr>
              <w:spacing w:after="14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Spanisch      </w:t>
            </w:r>
            <w:r>
              <w:rPr>
                <w:rFonts w:ascii="Calibri" w:cs="Calibri" w:eastAsia="Calibri" w:hAnsi="Calibri"/>
                <w:color w:val="B0607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3E3E50"/>
                <w:sz w:val="14"/>
                <w:szCs w:val="14"/>
              </w:rPr>
              <w:t xml:space="preserve">○○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WEITERES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A8A4BE"/>
                <w:sz w:val="15"/>
                <w:szCs w:val="15"/>
              </w:rPr>
              <w:t xml:space="preserve">Führerschein</w:t>
            </w:r>
          </w:p>
          <w:p>
            <w:pPr>
              <w:spacing w:after="50" w:before="16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Klasse B, eigener PKW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A8A4BE"/>
                <w:sz w:val="15"/>
                <w:szCs w:val="15"/>
              </w:rPr>
              <w:t xml:space="preserve">LinkedIn</w:t>
            </w:r>
          </w:p>
          <w:p>
            <w:pPr>
              <w:spacing w:after="50" w:before="16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linkedin.com/in/tbergmann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A8A4BE"/>
                <w:sz w:val="15"/>
                <w:szCs w:val="15"/>
              </w:rPr>
              <w:t xml:space="preserve">Verfügbar ab</w:t>
            </w:r>
          </w:p>
          <w:p>
            <w:pPr>
              <w:spacing w:after="50" w:before="16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nach Vereinbarung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6406"/>
            <w:tcBorders>
              <w:top w:val="none" w:color="FFFFFF" w:sz="0"/>
              <w:left w:val="single" w:color="C8A0A8" w:sz="3"/>
              <w:bottom w:val="none" w:color="FFFFFF" w:sz="0"/>
              <w:right w:val="none" w:color="FFFFFF" w:sz="0"/>
            </w:tcBorders>
            <w:shd w:fill="FAFAF7" w:val="clear"/>
            <w:tcMar>
              <w:top w:type="dxa" w:w="0"/>
              <w:left w:type="dxa" w:w="380"/>
              <w:bottom w:type="dxa" w:w="400"/>
              <w:right w:type="dxa" w:w="300"/>
            </w:tcMar>
            <w:vAlign w:val="top"/>
          </w:tcPr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2"/>
                <w:szCs w:val="22"/>
              </w:rPr>
              <w:t xml:space="preserve">Beruflicher Werdegang</w:t>
            </w:r>
          </w:p>
          <w:p>
            <w:pPr>
              <w:pBdr>
                <w:bottom w:val="single" w:color="C8A0A8" w:sz="4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5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00"/>
              <w:gridCol w:w="4506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5"/>
                      <w:szCs w:val="15"/>
                    </w:rPr>
                    <w:t xml:space="preserve">01/2015
– heute</w:t>
                  </w:r>
                </w:p>
              </w:tc>
              <w:tc>
                <w:tcPr>
                  <w:tcW w:type="dxa" w:w="4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5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Kaufmännischer Leiter (Prokurist)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4055"/>
                      <w:sz w:val="17"/>
                      <w:szCs w:val="17"/>
                    </w:rPr>
                    <w:t xml:space="preserve">Hartmann Industrietechnik GmbH, München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Gesamtverantwortung für Finanzen, Controlling, Einkauf &amp; HR (45 Mitarbeiter)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Einführung SAP S/4HANA in 14 Monaten — termingerecht und im Budget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Steuerung Budgetprozess über 38 Mio. € Jahresvolumen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Verhandlung von Rahmenverträgen mit 12 Schlüssellieferanten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Aufbau monatliches Management-Reporting für Geschäftsführung</w:t>
                  </w:r>
                </w:p>
                <w:p>
                  <w:pPr>
                    <w:spacing w:after="14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B2D3E"/>
                      <w:sz w:val="17"/>
                      <w:szCs w:val="17"/>
                    </w:rPr>
                    <w:t xml:space="preserve">Kernleistung: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454545"/>
                      <w:sz w:val="17"/>
                      <w:szCs w:val="17"/>
                    </w:rPr>
                    <w:t xml:space="preserve">Kostensenkung 2,1 Mio. € in 3 Jahren durch Einkaufsoptimierung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5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00"/>
              <w:gridCol w:w="4506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5"/>
                      <w:szCs w:val="15"/>
                    </w:rPr>
                    <w:t xml:space="preserve">03/2008
– 12/2014</w:t>
                  </w:r>
                </w:p>
              </w:tc>
              <w:tc>
                <w:tcPr>
                  <w:tcW w:type="dxa" w:w="4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5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Leiter Controlling &amp; Finanzen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4055"/>
                      <w:sz w:val="17"/>
                      <w:szCs w:val="17"/>
                    </w:rPr>
                    <w:t xml:space="preserve">Meister &amp; Partner Unternehmensberatung AG, Stuttgart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Aufbau Controlling-Abteilung von 0 auf 8 Mitarbeiter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Einführung Kostenstellenrechnung und Deckungsbeitragsanalyse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Betreuung 6 Kundenprojekte Unternehmensrestrukturierung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Erstellung von Businessplänen und Due-Diligence-Unterlagen</w:t>
                  </w:r>
                </w:p>
                <w:p>
                  <w:pPr>
                    <w:spacing w:after="14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B2D3E"/>
                      <w:sz w:val="17"/>
                      <w:szCs w:val="17"/>
                    </w:rPr>
                    <w:t xml:space="preserve">Kernleistung: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454545"/>
                      <w:sz w:val="17"/>
                      <w:szCs w:val="17"/>
                    </w:rPr>
                    <w:t xml:space="preserve">Frühwarnsystem entwickelt — Liquiditätsengpässe 3 Monate im Voraus erkannt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5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00"/>
              <w:gridCol w:w="4506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5"/>
                      <w:szCs w:val="15"/>
                    </w:rPr>
                    <w:t xml:space="preserve">09/2000
– 02/2008</w:t>
                  </w:r>
                </w:p>
              </w:tc>
              <w:tc>
                <w:tcPr>
                  <w:tcW w:type="dxa" w:w="4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5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Controller / Referent Finanzwesen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4055"/>
                      <w:sz w:val="17"/>
                      <w:szCs w:val="17"/>
                    </w:rPr>
                    <w:t xml:space="preserve">Albrecht &amp; Söhne Maschinenbau GmbH, Augsburg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Monats- und Jahresabschlüsse nach HGB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Mitarbeit Einführung SAP R/3 (FI/CO)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Vorbereitung und Begleitung von Jahresabschlussprüfungen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5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300"/>
              <w:gridCol w:w="4506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5"/>
                      <w:szCs w:val="15"/>
                    </w:rPr>
                    <w:t xml:space="preserve">07/1997
– 08/2000</w:t>
                  </w:r>
                </w:p>
              </w:tc>
              <w:tc>
                <w:tcPr>
                  <w:tcW w:type="dxa" w:w="4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5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Sachbearbeiter Buchhaltung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4055"/>
                      <w:sz w:val="17"/>
                      <w:szCs w:val="17"/>
                    </w:rPr>
                    <w:t xml:space="preserve">Regionalbank Bayern eG, München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Kreditoren- und Debitorenbuchhaltung, Kontenabstimmung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6" w:before="36"/>
                  </w:pPr>
                  <w:r>
                    <w:rPr>
                      <w:rFonts w:ascii="Calibri" w:cs="Calibri" w:eastAsia="Calibri" w:hAnsi="Calibri"/>
                      <w:color w:val="454545"/>
                      <w:sz w:val="17"/>
                      <w:szCs w:val="17"/>
                    </w:rPr>
                    <w:t xml:space="preserve">Erster Berufseinstieg nach Studium</w:t>
                  </w:r>
                </w:p>
              </w:tc>
            </w:tr>
          </w:tbl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2"/>
                <w:szCs w:val="22"/>
              </w:rPr>
              <w:t xml:space="preserve">Profil</w:t>
            </w:r>
          </w:p>
          <w:p>
            <w:pPr>
              <w:pBdr>
                <w:bottom w:val="single" w:color="C8A0A8" w:sz="4" w:space="2"/>
              </w:pBdr>
              <w:spacing w:after="120" w:before="55"/>
            </w:pPr>
            <w:r>
              <w:t xml:space="preserve"/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Erfahrener kaufmännischer Leiter mit über 25 Jahren Berufserfahrung in Industrie und Beratung. Ich verbinde strategisches Denken mit konkreter Umsetzungskompetenz — von der Budgetplanung bis zur Führung interdisziplinärer Teams. Meine Stärke liegt darin, Strukturen aufzubauen, Prozesse zu verschlanken und Menschen mitzunehmen.</w:t>
            </w:r>
          </w:p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München,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454545"/>
                <w:sz w:val="17"/>
                <w:szCs w:val="17"/>
              </w:rPr>
              <w:t xml:space="preserve">Thomas Bergmann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99999"/>
                <w:sz w:val="14"/>
                <w:szCs w:val="14"/>
              </w:rPr>
              <w:t xml:space="preserve">(Unterschrift)</w:t>
            </w:r>
          </w:p>
        </w:tc>
        <w:tc>
          <w:tcPr>
            <w:tcW w:type="dxa" w:w="2700"/>
            <w:tcBorders>
              <w:top w:val="none" w:color="FFFFFF" w:sz="0"/>
              <w:left w:val="single" w:color="C4C0D0" w:sz="3"/>
              <w:bottom w:val="none" w:color="FFFFFF" w:sz="0"/>
              <w:right w:val="none" w:color="FFFFFF" w:sz="0"/>
            </w:tcBorders>
            <w:shd w:fill="F0EEF5" w:val="clear"/>
            <w:tcMar>
              <w:top w:type="dxa" w:w="0"/>
              <w:left w:type="dxa" w:w="280"/>
              <w:bottom w:type="dxa" w:w="400"/>
              <w:right w:type="dxa" w:w="260"/>
            </w:tcMar>
            <w:vAlign w:val="top"/>
          </w:tcPr>
          <w:p>
            <w:pP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7B2D3E"/>
                <w:spacing w:val="30"/>
                <w:sz w:val="18"/>
                <w:szCs w:val="18"/>
              </w:rPr>
              <w:t xml:space="preserve">AUSBILDUNG</w:t>
            </w:r>
          </w:p>
          <w:p>
            <w:pPr>
              <w:pBdr>
                <w:bottom w:val="single" w:color="C4C0D0" w:sz="4" w:space="2"/>
              </w:pBdr>
              <w:spacing w:after="100" w:before="50"/>
            </w:pPr>
            <w:r>
              <w:t xml:space="preserve"/>
            </w:r>
          </w:p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1993–1997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Diplomkaufmann (FH)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Hochschule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2"/>
                  </w:pPr>
                  <w:r>
                    <w:rPr>
                      <w:rFonts w:ascii="Calibri" w:cs="Calibri" w:eastAsia="Calibri" w:hAnsi="Calibri"/>
                      <w:color w:val="454545"/>
                      <w:sz w:val="16"/>
                      <w:szCs w:val="16"/>
                    </w:rPr>
                    <w:t xml:space="preserve">Schwerpunkte: Controlling, Finanzierung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2"/>
                  </w:pPr>
                  <w:r>
                    <w:rPr>
                      <w:rFonts w:ascii="Calibri" w:cs="Calibri" w:eastAsia="Calibri" w:hAnsi="Calibri"/>
                      <w:color w:val="454545"/>
                      <w:sz w:val="16"/>
                      <w:szCs w:val="16"/>
                    </w:rPr>
                    <w:t xml:space="preserve">Diplomarbeit Note: 1,3</w:t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1989–1993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Industriekaufmann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MAN Truck &amp; Bus AG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2"/>
                  </w:pPr>
                  <w:r>
                    <w:rPr>
                      <w:rFonts w:ascii="Calibri" w:cs="Calibri" w:eastAsia="Calibri" w:hAnsi="Calibri"/>
                      <w:color w:val="454545"/>
                      <w:sz w:val="16"/>
                      <w:szCs w:val="16"/>
                    </w:rPr>
                    <w:t xml:space="preserve">Abschlussnote: gut</w:t>
                  </w:r>
                </w:p>
              </w:tc>
            </w:tr>
          </w:tbl>
          <w:p>
            <w:pP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7B2D3E"/>
                <w:spacing w:val="30"/>
                <w:sz w:val="18"/>
                <w:szCs w:val="18"/>
              </w:rPr>
              <w:t xml:space="preserve">WEITERBILDUNGEN</w:t>
            </w:r>
          </w:p>
          <w:p>
            <w:pPr>
              <w:pBdr>
                <w:bottom w:val="single" w:color="C4C0D0" w:sz="4" w:space="2"/>
              </w:pBdr>
              <w:spacing w:after="100" w:before="50"/>
            </w:pPr>
            <w:r>
              <w:t xml:space="preserve"/>
            </w:r>
          </w:p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2022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Zertif. Projektmanager IHK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IHK München (80 Std.)</w:t>
                  </w:r>
                </w:p>
              </w:tc>
            </w:tr>
          </w:tbl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2019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SAP S/4HANA Finance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SAP Deutschland</w:t>
                  </w:r>
                </w:p>
              </w:tc>
            </w:tr>
          </w:tbl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2016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Management Excellence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LMU München (2 Sem.)</w:t>
                  </w:r>
                </w:p>
              </w:tc>
            </w:tr>
          </w:tbl>
          <w:tbl>
            <w:tblPr>
              <w:tblW w:type="dxa" w:w="2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980"/>
              <w:gridCol w:w="122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0"/>
                    <w:bottom w:type="dxa" w:w="20"/>
                    <w:right w:type="dxa" w:w="5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4"/>
                      <w:szCs w:val="14"/>
                    </w:rPr>
                    <w:t xml:space="preserve">2012</w:t>
                  </w:r>
                </w:p>
              </w:tc>
              <w:tc>
                <w:tcPr>
                  <w:tcW w:type="dxa" w:w="1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40"/>
                    <w:bottom w:type="dxa" w:w="3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DATEV Jahresabschluss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DATEV eG</w:t>
                  </w:r>
                </w:p>
              </w:tc>
            </w:tr>
          </w:tbl>
          <w:p>
            <w:pP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7B2D3E"/>
                <w:spacing w:val="30"/>
                <w:sz w:val="18"/>
                <w:szCs w:val="18"/>
              </w:rPr>
              <w:t xml:space="preserve">EHRENAMT</w:t>
            </w:r>
          </w:p>
          <w:p>
            <w:pPr>
              <w:pBdr>
                <w:bottom w:val="single" w:color="C4C0D0" w:sz="4" w:space="2"/>
              </w:pBdr>
              <w:spacing w:after="100" w:before="5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Vorstandsmitglied Münchner Unternehmernetzwerk e.V. (seit 2018)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IHK-Mentor für Berufseinsteiger (seit 2020)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Steuerberatung für Benachteiligte, Lohnsteuerhilfe Bayern e.V.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b/>
                <w:bCs/>
                <w:color w:val="7B2D3E"/>
                <w:spacing w:val="30"/>
                <w:sz w:val="18"/>
                <w:szCs w:val="18"/>
              </w:rPr>
              <w:t xml:space="preserve">INTERESSEN</w:t>
            </w:r>
          </w:p>
          <w:p>
            <w:pPr>
              <w:pBdr>
                <w:bottom w:val="single" w:color="C4C0D0" w:sz="4" w:space="2"/>
              </w:pBdr>
              <w:spacing w:after="100" w:before="5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Bergwandern &amp; Skitouren (DAV München)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Wirtschaftsliteratur &amp; Sachbücher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38"/>
            </w:pPr>
            <w:r>
              <w:rPr>
                <w:rFonts w:ascii="Calibri" w:cs="Calibri" w:eastAsia="Calibri" w:hAnsi="Calibri"/>
                <w:color w:val="454545"/>
                <w:sz w:val="17"/>
                <w:szCs w:val="17"/>
              </w:rPr>
              <w:t xml:space="preserve">Klassische Musik (Abonnent Philharmonie)</w:t>
            </w:r>
          </w:p>
          <w:p>
            <w:pPr>
              <w:spacing w:after="0" w:before="1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40" w:hanging="1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2026-04-06T13:30:08.944Z</dcterms:created>
  <dcterms:modified xsi:type="dcterms:W3CDTF">2026-04-06T13:30:08.945Z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