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8363"/>
      </w:tblGrid>
      <w:tr w:rsidR="00572EDF" w14:paraId="53F9AB25" w14:textId="77777777" w:rsidTr="00D3313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7"/>
            <w:tcMar>
              <w:top w:w="720" w:type="dxa"/>
              <w:left w:w="420" w:type="dxa"/>
              <w:bottom w:w="720" w:type="dxa"/>
              <w:right w:w="360" w:type="dxa"/>
            </w:tcMar>
          </w:tcPr>
          <w:p w14:paraId="4FA22D04" w14:textId="77777777" w:rsidR="00572EDF" w:rsidRDefault="00000000">
            <w:pPr>
              <w:spacing w:before="240" w:after="120"/>
            </w:pPr>
            <w:r>
              <w:rPr>
                <w:b/>
                <w:bCs/>
                <w:color w:val="1B3A5C"/>
                <w:spacing w:val="30"/>
                <w:sz w:val="22"/>
                <w:szCs w:val="22"/>
              </w:rPr>
              <w:t>KONTAKT</w:t>
            </w:r>
          </w:p>
          <w:p w14:paraId="1BA5C567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Adresse</w:t>
            </w:r>
          </w:p>
          <w:p w14:paraId="4192B6D1" w14:textId="77777777" w:rsidR="00572EDF" w:rsidRDefault="00000000">
            <w:pPr>
              <w:spacing w:after="20" w:line="280" w:lineRule="auto"/>
            </w:pPr>
            <w:r>
              <w:rPr>
                <w:color w:val="1A1A1A"/>
                <w:sz w:val="18"/>
                <w:szCs w:val="18"/>
              </w:rPr>
              <w:t>Königsallee 124</w:t>
            </w:r>
          </w:p>
          <w:p w14:paraId="347C44D2" w14:textId="77777777" w:rsidR="00572EDF" w:rsidRDefault="00000000">
            <w:pPr>
              <w:spacing w:after="120" w:line="280" w:lineRule="auto"/>
            </w:pPr>
            <w:r>
              <w:rPr>
                <w:color w:val="1A1A1A"/>
                <w:sz w:val="18"/>
                <w:szCs w:val="18"/>
              </w:rPr>
              <w:t>40215 Düsseldorf</w:t>
            </w:r>
          </w:p>
          <w:p w14:paraId="1E68FE6A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Telefon</w:t>
            </w:r>
          </w:p>
          <w:p w14:paraId="3CF4DEFB" w14:textId="77777777" w:rsidR="00572EDF" w:rsidRDefault="00000000">
            <w:pPr>
              <w:spacing w:after="120" w:line="280" w:lineRule="auto"/>
            </w:pPr>
            <w:r>
              <w:rPr>
                <w:color w:val="1A1A1A"/>
                <w:sz w:val="18"/>
                <w:szCs w:val="18"/>
              </w:rPr>
              <w:t>+49 172 9876543</w:t>
            </w:r>
          </w:p>
          <w:p w14:paraId="191B1F0C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E-Mail</w:t>
            </w:r>
          </w:p>
          <w:p w14:paraId="4082DD5C" w14:textId="77777777" w:rsidR="00572EDF" w:rsidRDefault="00000000">
            <w:pPr>
              <w:spacing w:after="120" w:line="280" w:lineRule="auto"/>
            </w:pPr>
            <w:r>
              <w:rPr>
                <w:color w:val="1A1A1A"/>
                <w:sz w:val="18"/>
                <w:szCs w:val="18"/>
              </w:rPr>
              <w:t>k.hoffmann@mail-business.de</w:t>
            </w:r>
          </w:p>
          <w:p w14:paraId="7772EFA1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LinkedIn</w:t>
            </w:r>
          </w:p>
          <w:p w14:paraId="0F5FF232" w14:textId="77777777" w:rsidR="00572EDF" w:rsidRDefault="00000000">
            <w:pPr>
              <w:spacing w:after="120" w:line="280" w:lineRule="auto"/>
            </w:pPr>
            <w:r>
              <w:rPr>
                <w:color w:val="1A1A1A"/>
                <w:sz w:val="18"/>
                <w:szCs w:val="18"/>
              </w:rPr>
              <w:t>linkedin.com/in/katharina-hoffmann</w:t>
            </w:r>
          </w:p>
          <w:p w14:paraId="6EDB21A2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Geburtsdatum</w:t>
            </w:r>
          </w:p>
          <w:p w14:paraId="67A629E7" w14:textId="77777777" w:rsidR="00572EDF" w:rsidRDefault="00000000">
            <w:pPr>
              <w:spacing w:after="120" w:line="280" w:lineRule="auto"/>
            </w:pPr>
            <w:r>
              <w:rPr>
                <w:color w:val="1A1A1A"/>
                <w:sz w:val="18"/>
                <w:szCs w:val="18"/>
              </w:rPr>
              <w:t>22.09.1985</w:t>
            </w:r>
          </w:p>
          <w:p w14:paraId="6CA26C0A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Geburtsort</w:t>
            </w:r>
          </w:p>
          <w:p w14:paraId="2E17B5C4" w14:textId="77777777" w:rsidR="00572EDF" w:rsidRDefault="00000000">
            <w:pPr>
              <w:spacing w:after="120" w:line="280" w:lineRule="auto"/>
            </w:pPr>
            <w:r>
              <w:rPr>
                <w:color w:val="1A1A1A"/>
                <w:sz w:val="18"/>
                <w:szCs w:val="18"/>
              </w:rPr>
              <w:t>Köln</w:t>
            </w:r>
          </w:p>
          <w:p w14:paraId="5EA4FD0A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Staatsangehörigkeit</w:t>
            </w:r>
          </w:p>
          <w:p w14:paraId="7A8C447E" w14:textId="77777777" w:rsidR="00572EDF" w:rsidRDefault="00000000">
            <w:pPr>
              <w:spacing w:after="120" w:line="280" w:lineRule="auto"/>
            </w:pPr>
            <w:r>
              <w:rPr>
                <w:color w:val="1A1A1A"/>
                <w:sz w:val="18"/>
                <w:szCs w:val="18"/>
              </w:rPr>
              <w:t>Deutsch</w:t>
            </w:r>
          </w:p>
          <w:p w14:paraId="722C8A22" w14:textId="77777777" w:rsidR="00572EDF" w:rsidRDefault="00000000">
            <w:pPr>
              <w:spacing w:before="240" w:after="120"/>
            </w:pPr>
            <w:r>
              <w:rPr>
                <w:b/>
                <w:bCs/>
                <w:color w:val="1B3A5C"/>
                <w:spacing w:val="30"/>
                <w:sz w:val="22"/>
                <w:szCs w:val="22"/>
              </w:rPr>
              <w:t>KERNKOMPETENZEN</w:t>
            </w:r>
          </w:p>
          <w:p w14:paraId="31BC3E00" w14:textId="77777777" w:rsidR="00572EDF" w:rsidRDefault="00000000">
            <w:pPr>
              <w:spacing w:after="60" w:line="280" w:lineRule="auto"/>
            </w:pPr>
            <w:r>
              <w:rPr>
                <w:color w:val="1A1A1A"/>
                <w:sz w:val="18"/>
                <w:szCs w:val="18"/>
              </w:rPr>
              <w:t>Personalstrategie &amp; HR-Business-Partnering</w:t>
            </w:r>
          </w:p>
          <w:p w14:paraId="1DA36563" w14:textId="77777777" w:rsidR="00572EDF" w:rsidRDefault="00000000">
            <w:pPr>
              <w:spacing w:after="60" w:line="280" w:lineRule="auto"/>
            </w:pPr>
            <w:r>
              <w:rPr>
                <w:color w:val="1A1A1A"/>
                <w:sz w:val="18"/>
                <w:szCs w:val="18"/>
              </w:rPr>
              <w:t>Recruiting &amp; Active Sourcing</w:t>
            </w:r>
          </w:p>
          <w:p w14:paraId="20754336" w14:textId="77777777" w:rsidR="00572EDF" w:rsidRDefault="00000000">
            <w:pPr>
              <w:spacing w:after="60" w:line="280" w:lineRule="auto"/>
            </w:pPr>
            <w:r>
              <w:rPr>
                <w:color w:val="1A1A1A"/>
                <w:sz w:val="18"/>
                <w:szCs w:val="18"/>
              </w:rPr>
              <w:t>Talent Management &amp; Employer Branding</w:t>
            </w:r>
          </w:p>
          <w:p w14:paraId="4DA02397" w14:textId="77777777" w:rsidR="00572EDF" w:rsidRDefault="00000000">
            <w:pPr>
              <w:spacing w:after="60" w:line="280" w:lineRule="auto"/>
            </w:pPr>
            <w:r>
              <w:rPr>
                <w:color w:val="1A1A1A"/>
                <w:sz w:val="18"/>
                <w:szCs w:val="18"/>
              </w:rPr>
              <w:t>Personalentwicklung &amp; Coaching</w:t>
            </w:r>
          </w:p>
          <w:p w14:paraId="138241CF" w14:textId="77777777" w:rsidR="00572EDF" w:rsidRDefault="00000000">
            <w:pPr>
              <w:spacing w:after="60" w:line="280" w:lineRule="auto"/>
            </w:pPr>
            <w:r>
              <w:rPr>
                <w:color w:val="1A1A1A"/>
                <w:sz w:val="18"/>
                <w:szCs w:val="18"/>
              </w:rPr>
              <w:t>Arbeits- und Tarifrecht</w:t>
            </w:r>
          </w:p>
          <w:p w14:paraId="07234F89" w14:textId="77777777" w:rsidR="00572EDF" w:rsidRDefault="00000000">
            <w:pPr>
              <w:spacing w:after="60" w:line="280" w:lineRule="auto"/>
            </w:pPr>
            <w:r>
              <w:rPr>
                <w:color w:val="1A1A1A"/>
                <w:sz w:val="18"/>
                <w:szCs w:val="18"/>
              </w:rPr>
              <w:t>Betriebsratsarbeit &amp; Mitbestimmung</w:t>
            </w:r>
          </w:p>
          <w:p w14:paraId="70AEEA1F" w14:textId="77777777" w:rsidR="00572EDF" w:rsidRDefault="00000000">
            <w:pPr>
              <w:spacing w:after="60" w:line="280" w:lineRule="auto"/>
            </w:pPr>
            <w:r>
              <w:rPr>
                <w:color w:val="1A1A1A"/>
                <w:sz w:val="18"/>
                <w:szCs w:val="18"/>
              </w:rPr>
              <w:t>Change-Management &amp; Restrukturierung</w:t>
            </w:r>
          </w:p>
          <w:p w14:paraId="01589FAD" w14:textId="77777777" w:rsidR="00572EDF" w:rsidRDefault="00000000">
            <w:pPr>
              <w:spacing w:after="60" w:line="280" w:lineRule="auto"/>
            </w:pPr>
            <w:r>
              <w:rPr>
                <w:color w:val="1A1A1A"/>
                <w:sz w:val="18"/>
                <w:szCs w:val="18"/>
              </w:rPr>
              <w:t>HR-Controlling &amp; KPI-Analyse</w:t>
            </w:r>
          </w:p>
          <w:p w14:paraId="3FF25F6D" w14:textId="77777777" w:rsidR="00572EDF" w:rsidRDefault="00000000">
            <w:pPr>
              <w:spacing w:before="240" w:after="120"/>
            </w:pPr>
            <w:r>
              <w:rPr>
                <w:b/>
                <w:bCs/>
                <w:color w:val="1B3A5C"/>
                <w:spacing w:val="30"/>
                <w:sz w:val="22"/>
                <w:szCs w:val="22"/>
              </w:rPr>
              <w:t>IT-KENNTNISSE</w:t>
            </w:r>
          </w:p>
          <w:p w14:paraId="5043BF8D" w14:textId="77777777" w:rsidR="00572EDF" w:rsidRPr="00D33132" w:rsidRDefault="00000000">
            <w:pPr>
              <w:spacing w:after="60" w:line="280" w:lineRule="auto"/>
              <w:rPr>
                <w:lang w:val="es-ES"/>
              </w:rPr>
            </w:pPr>
            <w:r w:rsidRPr="00D33132">
              <w:rPr>
                <w:color w:val="1A1A1A"/>
                <w:sz w:val="18"/>
                <w:szCs w:val="18"/>
                <w:lang w:val="es-ES"/>
              </w:rPr>
              <w:t>SAP SuccessFactors</w:t>
            </w:r>
          </w:p>
          <w:p w14:paraId="52185931" w14:textId="77777777" w:rsidR="00572EDF" w:rsidRPr="00D33132" w:rsidRDefault="00000000">
            <w:pPr>
              <w:spacing w:after="60" w:line="280" w:lineRule="auto"/>
              <w:rPr>
                <w:lang w:val="es-ES"/>
              </w:rPr>
            </w:pPr>
            <w:r w:rsidRPr="00D33132">
              <w:rPr>
                <w:color w:val="1A1A1A"/>
                <w:sz w:val="18"/>
                <w:szCs w:val="18"/>
                <w:lang w:val="es-ES"/>
              </w:rPr>
              <w:t>SAP HCM / S/4HANA</w:t>
            </w:r>
          </w:p>
          <w:p w14:paraId="0B2285E5" w14:textId="77777777" w:rsidR="00572EDF" w:rsidRPr="00D33132" w:rsidRDefault="00000000">
            <w:pPr>
              <w:spacing w:after="60" w:line="280" w:lineRule="auto"/>
              <w:rPr>
                <w:lang w:val="es-ES"/>
              </w:rPr>
            </w:pPr>
            <w:r w:rsidRPr="00D33132">
              <w:rPr>
                <w:color w:val="1A1A1A"/>
                <w:sz w:val="18"/>
                <w:szCs w:val="18"/>
                <w:lang w:val="es-ES"/>
              </w:rPr>
              <w:t>Personio &amp; Workday</w:t>
            </w:r>
          </w:p>
          <w:p w14:paraId="4677548B" w14:textId="77777777" w:rsidR="00572EDF" w:rsidRPr="00D33132" w:rsidRDefault="00000000">
            <w:pPr>
              <w:spacing w:after="60" w:line="280" w:lineRule="auto"/>
              <w:rPr>
                <w:lang w:val="es-ES"/>
              </w:rPr>
            </w:pPr>
            <w:r w:rsidRPr="00D33132">
              <w:rPr>
                <w:color w:val="1A1A1A"/>
                <w:sz w:val="18"/>
                <w:szCs w:val="18"/>
                <w:lang w:val="es-ES"/>
              </w:rPr>
              <w:t>MS Office 365 (Excel-Profi)</w:t>
            </w:r>
          </w:p>
          <w:p w14:paraId="6AF334BB" w14:textId="77777777" w:rsidR="00572EDF" w:rsidRDefault="00000000">
            <w:pPr>
              <w:spacing w:after="60" w:line="280" w:lineRule="auto"/>
            </w:pPr>
            <w:r>
              <w:rPr>
                <w:color w:val="1A1A1A"/>
                <w:sz w:val="18"/>
                <w:szCs w:val="18"/>
              </w:rPr>
              <w:t>LinkedIn Recruiter &amp; XING TalentManager</w:t>
            </w:r>
          </w:p>
          <w:p w14:paraId="0F3ADAC7" w14:textId="77777777" w:rsidR="00572EDF" w:rsidRDefault="00000000">
            <w:pPr>
              <w:spacing w:after="60" w:line="280" w:lineRule="auto"/>
            </w:pPr>
            <w:r>
              <w:rPr>
                <w:color w:val="1A1A1A"/>
                <w:sz w:val="18"/>
                <w:szCs w:val="18"/>
              </w:rPr>
              <w:t>Power BI (Grundkenntnisse)</w:t>
            </w:r>
          </w:p>
          <w:p w14:paraId="5FE7CD0C" w14:textId="77777777" w:rsidR="00572EDF" w:rsidRDefault="00000000">
            <w:pPr>
              <w:spacing w:before="240" w:after="120"/>
            </w:pPr>
            <w:r>
              <w:rPr>
                <w:b/>
                <w:bCs/>
                <w:color w:val="1B3A5C"/>
                <w:spacing w:val="30"/>
                <w:sz w:val="22"/>
                <w:szCs w:val="22"/>
              </w:rPr>
              <w:t>SPRACHEN</w:t>
            </w:r>
          </w:p>
          <w:p w14:paraId="5AB22D82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  <w:sz w:val="18"/>
                <w:szCs w:val="18"/>
              </w:rPr>
              <w:t>Deutsch</w:t>
            </w:r>
          </w:p>
          <w:p w14:paraId="0088C081" w14:textId="77777777" w:rsidR="00572EDF" w:rsidRDefault="00000000">
            <w:pPr>
              <w:spacing w:after="10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Muttersprache</w:t>
            </w:r>
          </w:p>
          <w:p w14:paraId="194DB409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  <w:sz w:val="18"/>
                <w:szCs w:val="18"/>
              </w:rPr>
              <w:t>Englisch</w:t>
            </w:r>
          </w:p>
          <w:p w14:paraId="55008653" w14:textId="77777777" w:rsidR="00572EDF" w:rsidRDefault="00000000">
            <w:pPr>
              <w:spacing w:after="10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Verhandlungssicher (C1)</w:t>
            </w:r>
          </w:p>
          <w:p w14:paraId="102E0751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  <w:sz w:val="18"/>
                <w:szCs w:val="18"/>
              </w:rPr>
              <w:t>Französisch</w:t>
            </w:r>
          </w:p>
          <w:p w14:paraId="50DB7276" w14:textId="77777777" w:rsidR="00572EDF" w:rsidRDefault="00000000">
            <w:pPr>
              <w:spacing w:after="10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Gute Kenntnisse (B2)</w:t>
            </w:r>
          </w:p>
          <w:p w14:paraId="0DC2F003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  <w:sz w:val="18"/>
                <w:szCs w:val="18"/>
              </w:rPr>
              <w:t>Spanisch</w:t>
            </w:r>
          </w:p>
          <w:p w14:paraId="0A7E6016" w14:textId="77777777" w:rsidR="00572EDF" w:rsidRDefault="00000000">
            <w:pPr>
              <w:spacing w:after="10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Grundkenntnisse (A2)</w:t>
            </w:r>
          </w:p>
          <w:p w14:paraId="2D38D9ED" w14:textId="77777777" w:rsidR="00572EDF" w:rsidRDefault="00000000">
            <w:pPr>
              <w:spacing w:before="240" w:after="120"/>
            </w:pPr>
            <w:r>
              <w:rPr>
                <w:b/>
                <w:bCs/>
                <w:color w:val="1B3A5C"/>
                <w:spacing w:val="30"/>
                <w:sz w:val="22"/>
                <w:szCs w:val="22"/>
              </w:rPr>
              <w:lastRenderedPageBreak/>
              <w:t>EHRENAMT</w:t>
            </w:r>
          </w:p>
          <w:p w14:paraId="790D19D5" w14:textId="77777777" w:rsidR="00572EDF" w:rsidRDefault="00000000">
            <w:pPr>
              <w:spacing w:after="40" w:line="280" w:lineRule="auto"/>
            </w:pPr>
            <w:r>
              <w:rPr>
                <w:color w:val="1A1A1A"/>
                <w:sz w:val="18"/>
                <w:szCs w:val="18"/>
              </w:rPr>
              <w:t>Mentorin bei Joblinge e.V.</w:t>
            </w:r>
          </w:p>
          <w:p w14:paraId="06A4FE30" w14:textId="77777777" w:rsidR="00572EDF" w:rsidRDefault="00000000">
            <w:pPr>
              <w:spacing w:after="10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seit 2020</w:t>
            </w:r>
          </w:p>
          <w:p w14:paraId="02B82A05" w14:textId="77777777" w:rsidR="00572EDF" w:rsidRDefault="00000000">
            <w:pPr>
              <w:spacing w:after="40" w:line="280" w:lineRule="auto"/>
            </w:pPr>
            <w:r>
              <w:rPr>
                <w:color w:val="1A1A1A"/>
                <w:sz w:val="18"/>
                <w:szCs w:val="18"/>
              </w:rPr>
              <w:t>Mitglied im BPM (Bundesverband der Personalmanager)</w:t>
            </w:r>
          </w:p>
          <w:p w14:paraId="6E30A63B" w14:textId="77777777" w:rsidR="00572EDF" w:rsidRDefault="00000000">
            <w:pPr>
              <w:spacing w:after="10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seit 2017</w:t>
            </w:r>
          </w:p>
        </w:tc>
        <w:tc>
          <w:tcPr>
            <w:tcW w:w="83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20" w:type="dxa"/>
              <w:left w:w="480" w:type="dxa"/>
              <w:bottom w:w="720" w:type="dxa"/>
              <w:right w:w="480" w:type="dxa"/>
            </w:tcMar>
          </w:tcPr>
          <w:p w14:paraId="5B6609EA" w14:textId="0D3D65FF" w:rsidR="00572EDF" w:rsidRDefault="00D33132">
            <w:pPr>
              <w:spacing w:before="200"/>
            </w:pPr>
            <w:r>
              <w:rPr>
                <w:noProof/>
                <w:color w:val="1A1A1A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969CABD" wp14:editId="0EE0220D">
                  <wp:simplePos x="0" y="0"/>
                  <wp:positionH relativeFrom="column">
                    <wp:posOffset>3712210</wp:posOffset>
                  </wp:positionH>
                  <wp:positionV relativeFrom="paragraph">
                    <wp:posOffset>-381000</wp:posOffset>
                  </wp:positionV>
                  <wp:extent cx="1045504" cy="1200150"/>
                  <wp:effectExtent l="0" t="0" r="2540" b="0"/>
                  <wp:wrapNone/>
                  <wp:docPr id="342358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04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1B3A5C"/>
                <w:sz w:val="56"/>
                <w:szCs w:val="56"/>
              </w:rPr>
              <w:t>Katharina Hoffmann</w:t>
            </w:r>
          </w:p>
          <w:p w14:paraId="749736BD" w14:textId="77777777" w:rsidR="00572EDF" w:rsidRDefault="00000000">
            <w:pPr>
              <w:pBdr>
                <w:bottom w:val="single" w:sz="8" w:space="6" w:color="2E6BA8"/>
              </w:pBdr>
              <w:spacing w:before="60" w:after="240"/>
            </w:pPr>
            <w:r>
              <w:rPr>
                <w:color w:val="5A6470"/>
                <w:spacing w:val="20"/>
                <w:sz w:val="26"/>
                <w:szCs w:val="26"/>
              </w:rPr>
              <w:t>HR-Managerin / Senior HR Business Partner</w:t>
            </w:r>
          </w:p>
          <w:p w14:paraId="681BDD9B" w14:textId="77777777" w:rsidR="00572EDF" w:rsidRDefault="00000000">
            <w:pPr>
              <w:pBdr>
                <w:bottom w:val="single" w:sz="12" w:space="4" w:color="1B3A5C"/>
              </w:pBdr>
              <w:spacing w:before="200" w:after="120"/>
            </w:pPr>
            <w:r>
              <w:rPr>
                <w:b/>
                <w:bCs/>
                <w:color w:val="1B3A5C"/>
                <w:spacing w:val="30"/>
                <w:sz w:val="24"/>
                <w:szCs w:val="24"/>
              </w:rPr>
              <w:t>PROFIL</w:t>
            </w:r>
          </w:p>
          <w:p w14:paraId="10116159" w14:textId="7D7F0706" w:rsidR="00572EDF" w:rsidRDefault="00000000">
            <w:pPr>
              <w:spacing w:after="120" w:line="280" w:lineRule="auto"/>
            </w:pPr>
            <w:r>
              <w:rPr>
                <w:color w:val="1A1A1A"/>
              </w:rPr>
              <w:t>Erfahrene HR-Managerin mit über zwölf Jahren Berufserfahrung in mittelständischen Unternehmen und Konzernumfeldern. Schwerpunkte: strategisches Personalmanagement, Recruiting von Fach- und Führungskräften sowie die Gestaltung moderner HR-Prozesse.</w:t>
            </w:r>
          </w:p>
          <w:p w14:paraId="05D0453D" w14:textId="77777777" w:rsidR="00572EDF" w:rsidRDefault="00000000">
            <w:pPr>
              <w:pBdr>
                <w:bottom w:val="single" w:sz="12" w:space="4" w:color="1B3A5C"/>
              </w:pBdr>
              <w:spacing w:before="200" w:after="120"/>
            </w:pPr>
            <w:r>
              <w:rPr>
                <w:b/>
                <w:bCs/>
                <w:color w:val="1B3A5C"/>
                <w:spacing w:val="30"/>
                <w:sz w:val="24"/>
                <w:szCs w:val="24"/>
              </w:rPr>
              <w:t>BERUFSERFAHRUNG</w:t>
            </w:r>
          </w:p>
          <w:p w14:paraId="21FCE797" w14:textId="77777777" w:rsidR="00572EDF" w:rsidRDefault="00000000">
            <w:pPr>
              <w:spacing w:before="80" w:after="4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03/2021 – heute</w:t>
            </w:r>
          </w:p>
          <w:p w14:paraId="7E4D48B2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  <w:sz w:val="22"/>
                <w:szCs w:val="22"/>
              </w:rPr>
              <w:t>HR-Managerin / Senior HR Business Partner</w:t>
            </w:r>
          </w:p>
          <w:p w14:paraId="75EAC162" w14:textId="77777777" w:rsidR="00572EDF" w:rsidRDefault="00000000">
            <w:pPr>
              <w:spacing w:after="8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Vandenberg Industries AG • Düsseldorf</w:t>
            </w:r>
          </w:p>
          <w:p w14:paraId="4A09BC05" w14:textId="77777777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Strategische und operative Betreuung von 850 Mitarbeitenden über drei Standorte</w:t>
            </w:r>
          </w:p>
          <w:p w14:paraId="727EE98D" w14:textId="6D938082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Führung eines HR-Teams mit fünf Mitarbeitenden (Recruiting, Personalentwicklung)</w:t>
            </w:r>
          </w:p>
          <w:p w14:paraId="09D2A8FB" w14:textId="294E078A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Konzeption und Einführung eines konzernweiten Talent-Management-Programms</w:t>
            </w:r>
          </w:p>
          <w:p w14:paraId="0B11022C" w14:textId="77777777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Steuerung eines Restrukturierungsprojektes inkl. Interessenausgleich und Sozialplan</w:t>
            </w:r>
          </w:p>
          <w:p w14:paraId="268CF7FA" w14:textId="77777777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Implementierung von SAP SuccessFactors als zentrales HR-System</w:t>
            </w:r>
          </w:p>
          <w:p w14:paraId="0911E8D2" w14:textId="77777777" w:rsidR="00572EDF" w:rsidRDefault="00000000">
            <w:pPr>
              <w:spacing w:before="80" w:after="4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08/2017 – 02/2021</w:t>
            </w:r>
          </w:p>
          <w:p w14:paraId="0F1D8035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  <w:sz w:val="22"/>
                <w:szCs w:val="22"/>
              </w:rPr>
              <w:t>HR Business Partner</w:t>
            </w:r>
          </w:p>
          <w:p w14:paraId="79CC2267" w14:textId="77777777" w:rsidR="00572EDF" w:rsidRDefault="00000000">
            <w:pPr>
              <w:spacing w:after="8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Rheinkampf Logistik GmbH • Köln</w:t>
            </w:r>
          </w:p>
          <w:p w14:paraId="2750CF9E" w14:textId="77777777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Beratung von Führungskräften in allen personalrelevanten Fragestellungen</w:t>
            </w:r>
          </w:p>
          <w:p w14:paraId="6239A029" w14:textId="4EB5E327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End-to-End-Recruiting von Fach- und Führungspositionen (60 Besetzungen pro Jahr)</w:t>
            </w:r>
          </w:p>
          <w:p w14:paraId="3B57803B" w14:textId="77777777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Erstellung von HR-Reports und KPI-Analysen für die Geschäftsleitung</w:t>
            </w:r>
          </w:p>
          <w:p w14:paraId="26DF2117" w14:textId="77777777" w:rsidR="00572EDF" w:rsidRDefault="00000000">
            <w:pPr>
              <w:spacing w:before="80" w:after="4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10/2013 – 07/2017</w:t>
            </w:r>
          </w:p>
          <w:p w14:paraId="59053809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  <w:sz w:val="22"/>
                <w:szCs w:val="22"/>
              </w:rPr>
              <w:t>HR-Referentin</w:t>
            </w:r>
          </w:p>
          <w:p w14:paraId="38439274" w14:textId="77777777" w:rsidR="00572EDF" w:rsidRDefault="00000000">
            <w:pPr>
              <w:spacing w:after="8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MERIDIAN Consulting Group • Frankfurt am Main</w:t>
            </w:r>
          </w:p>
          <w:p w14:paraId="1356362C" w14:textId="77777777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Eigenverantwortliche Betreuung von 220 Mitarbeitenden im Consulting-Bereich</w:t>
            </w:r>
          </w:p>
          <w:p w14:paraId="6D68FB24" w14:textId="77777777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Steuerung des kompletten Employee Lifecycle vom Onboarding bis zum Offboarding</w:t>
            </w:r>
          </w:p>
          <w:p w14:paraId="578396DE" w14:textId="77777777" w:rsidR="00572EDF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1A1A1A"/>
              </w:rPr>
              <w:t>Mitwirkung bei der Einführung eines neuen Performance-Management-Systems</w:t>
            </w:r>
          </w:p>
          <w:p w14:paraId="78A18C2C" w14:textId="77777777" w:rsidR="00572EDF" w:rsidRDefault="00000000">
            <w:pPr>
              <w:pBdr>
                <w:bottom w:val="single" w:sz="12" w:space="4" w:color="1B3A5C"/>
              </w:pBdr>
              <w:spacing w:before="200" w:after="120"/>
            </w:pPr>
            <w:r>
              <w:rPr>
                <w:b/>
                <w:bCs/>
                <w:color w:val="1B3A5C"/>
                <w:spacing w:val="30"/>
                <w:sz w:val="24"/>
                <w:szCs w:val="24"/>
              </w:rPr>
              <w:t>STUDIUM &amp; AUSBILDUNG</w:t>
            </w:r>
          </w:p>
          <w:p w14:paraId="688B63DA" w14:textId="77777777" w:rsidR="00572EDF" w:rsidRDefault="00000000">
            <w:pPr>
              <w:spacing w:before="80" w:after="4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10/2009 – 07/2011</w:t>
            </w:r>
          </w:p>
          <w:p w14:paraId="46828361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  <w:sz w:val="22"/>
                <w:szCs w:val="22"/>
              </w:rPr>
              <w:t>Master of Science – Human Resource Management</w:t>
            </w:r>
          </w:p>
          <w:p w14:paraId="17F6EA45" w14:textId="77777777" w:rsidR="00572EDF" w:rsidRDefault="00000000">
            <w:pPr>
              <w:spacing w:after="10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Universität zu Köln • Abschluss: 1,7</w:t>
            </w:r>
          </w:p>
          <w:p w14:paraId="76861E39" w14:textId="77777777" w:rsidR="00572EDF" w:rsidRDefault="00000000">
            <w:pPr>
              <w:spacing w:before="80" w:after="4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10/2006 – 09/2009</w:t>
            </w:r>
          </w:p>
          <w:p w14:paraId="124263A6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  <w:sz w:val="22"/>
                <w:szCs w:val="22"/>
              </w:rPr>
              <w:t>Bachelor of Arts – Betriebswirtschaftslehre</w:t>
            </w:r>
          </w:p>
          <w:p w14:paraId="17F5A35C" w14:textId="77777777" w:rsidR="00572EDF" w:rsidRDefault="00000000">
            <w:pPr>
              <w:spacing w:after="10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Heinrich-Heine-Universität Düsseldorf • Schwerpunkt Personal &amp; Organisation</w:t>
            </w:r>
          </w:p>
          <w:p w14:paraId="4588C1E9" w14:textId="77777777" w:rsidR="00572EDF" w:rsidRDefault="00000000">
            <w:pPr>
              <w:spacing w:before="80" w:after="4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08/1996 – 06/2005</w:t>
            </w:r>
          </w:p>
          <w:p w14:paraId="2A83D80B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  <w:sz w:val="22"/>
                <w:szCs w:val="22"/>
              </w:rPr>
              <w:t>Allgemeine Hochschulreife (Abitur)</w:t>
            </w:r>
          </w:p>
          <w:p w14:paraId="1F03F404" w14:textId="77777777" w:rsidR="00572EDF" w:rsidRDefault="00000000">
            <w:pPr>
              <w:spacing w:after="12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Friedrich-Schiller-Gymnasium • Köln</w:t>
            </w:r>
          </w:p>
          <w:p w14:paraId="75B50502" w14:textId="77777777" w:rsidR="00572EDF" w:rsidRDefault="00000000">
            <w:pPr>
              <w:pBdr>
                <w:bottom w:val="single" w:sz="12" w:space="4" w:color="1B3A5C"/>
              </w:pBdr>
              <w:spacing w:before="200" w:after="120"/>
            </w:pPr>
            <w:r>
              <w:rPr>
                <w:b/>
                <w:bCs/>
                <w:color w:val="1B3A5C"/>
                <w:spacing w:val="30"/>
                <w:sz w:val="24"/>
                <w:szCs w:val="24"/>
              </w:rPr>
              <w:t>WEITERBILDUNGEN &amp; ZERTIFIKATE</w:t>
            </w:r>
          </w:p>
          <w:p w14:paraId="3C8E0979" w14:textId="77777777" w:rsidR="00572EDF" w:rsidRDefault="00000000">
            <w:pPr>
              <w:spacing w:after="4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2023</w:t>
            </w:r>
          </w:p>
          <w:p w14:paraId="300E4897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</w:rPr>
              <w:t>Systemischer Business Coach (IHK-zertifiziert)</w:t>
            </w:r>
          </w:p>
          <w:p w14:paraId="2F039655" w14:textId="77777777" w:rsidR="00572EDF" w:rsidRDefault="00000000">
            <w:pPr>
              <w:spacing w:after="10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lastRenderedPageBreak/>
              <w:t>IHK Akademie • Düsseldorf</w:t>
            </w:r>
          </w:p>
          <w:p w14:paraId="37AB0DAD" w14:textId="77777777" w:rsidR="00572EDF" w:rsidRDefault="00000000">
            <w:pPr>
              <w:spacing w:after="4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2021</w:t>
            </w:r>
          </w:p>
          <w:p w14:paraId="383874AC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</w:rPr>
              <w:t>SHRM Senior Certified Professional (SHRM-SCP)</w:t>
            </w:r>
          </w:p>
          <w:p w14:paraId="68E0C79E" w14:textId="77777777" w:rsidR="00572EDF" w:rsidRDefault="00000000">
            <w:pPr>
              <w:spacing w:after="10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Society for Human Resource Management</w:t>
            </w:r>
          </w:p>
          <w:p w14:paraId="1256F023" w14:textId="77777777" w:rsidR="00572EDF" w:rsidRDefault="00000000">
            <w:pPr>
              <w:spacing w:after="40" w:line="280" w:lineRule="auto"/>
            </w:pPr>
            <w:r>
              <w:rPr>
                <w:b/>
                <w:bCs/>
                <w:color w:val="2E6BA8"/>
                <w:sz w:val="18"/>
                <w:szCs w:val="18"/>
              </w:rPr>
              <w:t>2019</w:t>
            </w:r>
          </w:p>
          <w:p w14:paraId="2C472C3C" w14:textId="77777777" w:rsidR="00572EDF" w:rsidRDefault="00000000">
            <w:pPr>
              <w:spacing w:after="20" w:line="280" w:lineRule="auto"/>
            </w:pPr>
            <w:r>
              <w:rPr>
                <w:b/>
                <w:bCs/>
                <w:color w:val="1A1A1A"/>
              </w:rPr>
              <w:t>Fachseminar Arbeitsrecht für Personalverantwortliche</w:t>
            </w:r>
          </w:p>
          <w:p w14:paraId="4178B225" w14:textId="77777777" w:rsidR="00572EDF" w:rsidRDefault="00000000">
            <w:pPr>
              <w:spacing w:after="240"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Haufe Akademie • Frankfurt am Main</w:t>
            </w:r>
          </w:p>
          <w:p w14:paraId="4E56FFB2" w14:textId="77777777" w:rsidR="00572EDF" w:rsidRDefault="00000000">
            <w:pPr>
              <w:spacing w:after="60" w:line="280" w:lineRule="auto"/>
            </w:pPr>
            <w:r>
              <w:rPr>
                <w:color w:val="5A6470"/>
                <w:sz w:val="18"/>
                <w:szCs w:val="18"/>
              </w:rPr>
              <w:t xml:space="preserve">Düsseldorf, </w:t>
            </w:r>
            <w:r>
              <w:rPr>
                <w:i/>
                <w:iCs/>
                <w:color w:val="5A6470"/>
                <w:sz w:val="18"/>
                <w:szCs w:val="18"/>
              </w:rPr>
              <w:t>[Datum einfügen]</w:t>
            </w:r>
          </w:p>
          <w:p w14:paraId="7A9C29BA" w14:textId="77777777" w:rsidR="00572EDF" w:rsidRDefault="00000000">
            <w:pPr>
              <w:spacing w:line="280" w:lineRule="auto"/>
            </w:pPr>
            <w:r>
              <w:rPr>
                <w:i/>
                <w:iCs/>
                <w:color w:val="5A6470"/>
                <w:sz w:val="18"/>
                <w:szCs w:val="18"/>
              </w:rPr>
              <w:t>Katharina Hoffmann</w:t>
            </w:r>
          </w:p>
        </w:tc>
      </w:tr>
    </w:tbl>
    <w:p w14:paraId="2C279DE8" w14:textId="77777777" w:rsidR="00A7046E" w:rsidRDefault="00A7046E"/>
    <w:sectPr w:rsidR="00A7046E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F69"/>
    <w:multiLevelType w:val="hybridMultilevel"/>
    <w:tmpl w:val="2E3E663A"/>
    <w:lvl w:ilvl="0" w:tplc="33860912">
      <w:start w:val="1"/>
      <w:numFmt w:val="bullet"/>
      <w:lvlText w:val="●"/>
      <w:lvlJc w:val="left"/>
      <w:pPr>
        <w:ind w:left="720" w:hanging="360"/>
      </w:pPr>
    </w:lvl>
    <w:lvl w:ilvl="1" w:tplc="6CF6A184">
      <w:start w:val="1"/>
      <w:numFmt w:val="bullet"/>
      <w:lvlText w:val="○"/>
      <w:lvlJc w:val="left"/>
      <w:pPr>
        <w:ind w:left="1440" w:hanging="360"/>
      </w:pPr>
    </w:lvl>
    <w:lvl w:ilvl="2" w:tplc="C3F05668">
      <w:start w:val="1"/>
      <w:numFmt w:val="bullet"/>
      <w:lvlText w:val="■"/>
      <w:lvlJc w:val="left"/>
      <w:pPr>
        <w:ind w:left="2160" w:hanging="360"/>
      </w:pPr>
    </w:lvl>
    <w:lvl w:ilvl="3" w:tplc="5CC0B950">
      <w:start w:val="1"/>
      <w:numFmt w:val="bullet"/>
      <w:lvlText w:val="●"/>
      <w:lvlJc w:val="left"/>
      <w:pPr>
        <w:ind w:left="2880" w:hanging="360"/>
      </w:pPr>
    </w:lvl>
    <w:lvl w:ilvl="4" w:tplc="B6A42C48">
      <w:start w:val="1"/>
      <w:numFmt w:val="bullet"/>
      <w:lvlText w:val="○"/>
      <w:lvlJc w:val="left"/>
      <w:pPr>
        <w:ind w:left="3600" w:hanging="360"/>
      </w:pPr>
    </w:lvl>
    <w:lvl w:ilvl="5" w:tplc="4E78B1C6">
      <w:start w:val="1"/>
      <w:numFmt w:val="bullet"/>
      <w:lvlText w:val="■"/>
      <w:lvlJc w:val="left"/>
      <w:pPr>
        <w:ind w:left="4320" w:hanging="360"/>
      </w:pPr>
    </w:lvl>
    <w:lvl w:ilvl="6" w:tplc="99DAE94A">
      <w:start w:val="1"/>
      <w:numFmt w:val="bullet"/>
      <w:lvlText w:val="●"/>
      <w:lvlJc w:val="left"/>
      <w:pPr>
        <w:ind w:left="5040" w:hanging="360"/>
      </w:pPr>
    </w:lvl>
    <w:lvl w:ilvl="7" w:tplc="6E08B704">
      <w:start w:val="1"/>
      <w:numFmt w:val="bullet"/>
      <w:lvlText w:val="●"/>
      <w:lvlJc w:val="left"/>
      <w:pPr>
        <w:ind w:left="5760" w:hanging="360"/>
      </w:pPr>
    </w:lvl>
    <w:lvl w:ilvl="8" w:tplc="A31C01B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6120F89"/>
    <w:multiLevelType w:val="hybridMultilevel"/>
    <w:tmpl w:val="50E0069E"/>
    <w:lvl w:ilvl="0" w:tplc="47DE7478">
      <w:start w:val="1"/>
      <w:numFmt w:val="bullet"/>
      <w:lvlText w:val="▸"/>
      <w:lvlJc w:val="left"/>
      <w:pPr>
        <w:ind w:left="360" w:hanging="220"/>
      </w:pPr>
      <w:rPr>
        <w:rFonts w:ascii="Calibri" w:eastAsia="Calibri" w:hAnsi="Calibri" w:cs="Calibri"/>
        <w:color w:val="1B3A5C"/>
      </w:rPr>
    </w:lvl>
    <w:lvl w:ilvl="1" w:tplc="BE0ECA68">
      <w:numFmt w:val="decimal"/>
      <w:lvlText w:val=""/>
      <w:lvlJc w:val="left"/>
    </w:lvl>
    <w:lvl w:ilvl="2" w:tplc="A1604A38">
      <w:numFmt w:val="decimal"/>
      <w:lvlText w:val=""/>
      <w:lvlJc w:val="left"/>
    </w:lvl>
    <w:lvl w:ilvl="3" w:tplc="D67E2AC2">
      <w:numFmt w:val="decimal"/>
      <w:lvlText w:val=""/>
      <w:lvlJc w:val="left"/>
    </w:lvl>
    <w:lvl w:ilvl="4" w:tplc="C4989A54">
      <w:numFmt w:val="decimal"/>
      <w:lvlText w:val=""/>
      <w:lvlJc w:val="left"/>
    </w:lvl>
    <w:lvl w:ilvl="5" w:tplc="326844E6">
      <w:numFmt w:val="decimal"/>
      <w:lvlText w:val=""/>
      <w:lvlJc w:val="left"/>
    </w:lvl>
    <w:lvl w:ilvl="6" w:tplc="B6B6DC06">
      <w:numFmt w:val="decimal"/>
      <w:lvlText w:val=""/>
      <w:lvlJc w:val="left"/>
    </w:lvl>
    <w:lvl w:ilvl="7" w:tplc="65FCFCD4">
      <w:numFmt w:val="decimal"/>
      <w:lvlText w:val=""/>
      <w:lvlJc w:val="left"/>
    </w:lvl>
    <w:lvl w:ilvl="8" w:tplc="1AEAF5F6">
      <w:numFmt w:val="decimal"/>
      <w:lvlText w:val=""/>
      <w:lvlJc w:val="left"/>
    </w:lvl>
  </w:abstractNum>
  <w:num w:numId="1" w16cid:durableId="437483212">
    <w:abstractNumId w:val="0"/>
    <w:lvlOverride w:ilvl="0">
      <w:startOverride w:val="1"/>
    </w:lvlOverride>
  </w:num>
  <w:num w:numId="2" w16cid:durableId="11285441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F"/>
    <w:rsid w:val="00572EDF"/>
    <w:rsid w:val="00A7046E"/>
    <w:rsid w:val="00D33132"/>
    <w:rsid w:val="00F9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FDAD"/>
  <w15:docId w15:val="{E80708CE-1EF7-44CD-BB23-1D5A9212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2590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HR-Manager</dc:title>
  <dc:creator>Lebenslauf Vorlage</dc:creator>
  <cp:lastModifiedBy>Sergio Jiménez Canales</cp:lastModifiedBy>
  <cp:revision>3</cp:revision>
  <dcterms:created xsi:type="dcterms:W3CDTF">2026-05-21T04:53:00Z</dcterms:created>
  <dcterms:modified xsi:type="dcterms:W3CDTF">2026-05-21T08:38:00Z</dcterms:modified>
</cp:coreProperties>
</file>