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746"/>
      </w:tblGrid>
      <w:tr>
        <w:tc>
          <w:tcPr>
            <w:tcW w:type="dxa" w:w="97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1A2E" w:val="clear"/>
            <w:tcMar>
              <w:top w:type="dxa" w:w="400"/>
              <w:left w:type="dxa" w:w="440"/>
              <w:bottom w:type="dxa" w:w="360"/>
              <w:right w:type="dxa" w:w="44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FFFFFF"/>
                <w:sz w:val="72"/>
                <w:szCs w:val="72"/>
              </w:rPr>
              <w:t xml:space="preserve">Tobias Reichmann</w:t>
            </w:r>
          </w:p>
          <w:p>
            <w:pPr>
              <w:spacing w:after="0" w:before="80"/>
            </w:pPr>
            <w:r>
              <w:rPr>
                <w:rFonts w:ascii="Georgia" w:cs="Georgia" w:eastAsia="Georgia" w:hAnsi="Georgia"/>
                <w:color w:val="C8DDEF"/>
                <w:sz w:val="22"/>
                <w:szCs w:val="22"/>
              </w:rPr>
              <w:t xml:space="preserve">Automobilverkäufer  ·  Kundenberatung  ·  Neu- &amp; Gebrauchtwagen  ·  Premium-Segment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48"/>
        <w:gridCol w:w="3248"/>
        <w:gridCol w:w="3250"/>
      </w:tblGrid>
      <w:tr>
        <w:tc>
          <w:tcPr>
            <w:tcW w:type="dxa" w:w="32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F0F1E" w:val="clear"/>
            <w:tcMar>
              <w:top w:type="dxa" w:w="160"/>
              <w:left w:type="dxa" w:w="440"/>
              <w:bottom w:type="dxa" w:w="1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color w:val="C8DDEF"/>
                <w:sz w:val="18"/>
                <w:szCs w:val="18"/>
              </w:rPr>
              <w:t xml:space="preserve">✉  tobias.reichmann@email.de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color w:val="C8DDEF"/>
                <w:sz w:val="18"/>
                <w:szCs w:val="18"/>
              </w:rPr>
              <w:t xml:space="preserve">✆  +49 162 475 3381</w:t>
            </w:r>
          </w:p>
        </w:tc>
        <w:tc>
          <w:tcPr>
            <w:tcW w:type="dxa" w:w="3248"/>
            <w:tcBorders>
              <w:top w:val="none" w:color="FFFFFF" w:sz="0"/>
              <w:left w:val="single" w:color="7AB4DB" w:sz="3"/>
              <w:bottom w:val="none" w:color="FFFFFF" w:sz="0"/>
              <w:right w:val="none" w:color="FFFFFF" w:sz="0"/>
            </w:tcBorders>
            <w:shd w:fill="0F0F1E" w:val="clear"/>
            <w:tcMar>
              <w:top w:type="dxa" w:w="160"/>
              <w:left w:type="dxa" w:w="220"/>
              <w:bottom w:type="dxa" w:w="1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color w:val="C8DDEF"/>
                <w:sz w:val="18"/>
                <w:szCs w:val="18"/>
              </w:rPr>
              <w:t xml:space="preserve">⌂  Kaiserstrasse 88, 70372 Stuttgart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color w:val="C8DDEF"/>
                <w:sz w:val="18"/>
                <w:szCs w:val="18"/>
              </w:rPr>
              <w:t xml:space="preserve">in  linkedin.de/in/tobiasreichmann</w:t>
            </w:r>
          </w:p>
        </w:tc>
        <w:tc>
          <w:tcPr>
            <w:tcW w:type="dxa" w:w="3250"/>
            <w:tcBorders>
              <w:top w:val="none" w:color="FFFFFF" w:sz="0"/>
              <w:left w:val="single" w:color="7AB4DB" w:sz="3"/>
              <w:bottom w:val="none" w:color="FFFFFF" w:sz="0"/>
              <w:right w:val="none" w:color="FFFFFF" w:sz="0"/>
            </w:tcBorders>
            <w:shd w:fill="0F0F1E" w:val="clear"/>
            <w:tcMar>
              <w:top w:type="dxa" w:w="160"/>
              <w:left w:type="dxa" w:w="220"/>
              <w:bottom w:type="dxa" w:w="16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color w:val="C8DDEF"/>
                <w:sz w:val="18"/>
                <w:szCs w:val="18"/>
              </w:rPr>
              <w:t xml:space="preserve">Geb.:  08.05.1989  ·  Stuttgart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color w:val="C8DDEF"/>
                <w:sz w:val="18"/>
                <w:szCs w:val="18"/>
              </w:rPr>
              <w:t xml:space="preserve">Fuehrerschein:  Klasse B</w:t>
            </w:r>
          </w:p>
        </w:tc>
      </w:tr>
    </w:tbl>
    <w:p>
      <w:pPr>
        <w:spacing w:after="0" w:before="300"/>
      </w:pPr>
      <w:r>
        <w:rPr>
          <w:rFonts w:ascii="Georgia" w:cs="Georgia" w:eastAsia="Georgia" w:hAnsi="Georgia"/>
          <w:b/>
          <w:bCs/>
          <w:caps/>
          <w:color w:val="1A1A2E"/>
          <w:spacing w:val="40"/>
          <w:sz w:val="26"/>
          <w:szCs w:val="26"/>
        </w:rPr>
        <w:t xml:space="preserve">Berufliches Profil</w:t>
      </w:r>
    </w:p>
    <w:p>
      <w:pPr>
        <w:pBdr>
          <w:bottom w:val="single" w:color="1E6FBB" w:sz="6" w:space="3"/>
        </w:pBdr>
        <w:spacing w:after="160" w:before="60"/>
      </w:pPr>
      <w:r>
        <w:t xml:space="preserve"/>
      </w:r>
    </w:p>
    <w:p>
      <w:pPr>
        <w:spacing w:after="100" w:before="0"/>
        <w:jc w:val="both"/>
      </w:pPr>
      <w:r>
        <w:rPr>
          <w:rFonts w:ascii="Georgia" w:cs="Georgia" w:eastAsia="Georgia" w:hAnsi="Georgia"/>
          <w:color w:val="3A4A58"/>
          <w:sz w:val="19"/>
          <w:szCs w:val="19"/>
        </w:rPr>
        <w:t xml:space="preserve">Erfahrener Automobilverkäufer mit über 11 Jahren Berufserfahrung im Neu- und Gebrauchtwagenvertrieb – davon 6 Jahre im Premiumsegment (Mercedes-Benz, BMW). Nachgewiesene Stärken in der ganzheitlichen Kundenberatung, der Entwicklung langfristiger Kundenbeziehungen und der konsequenten Zielerreichung. Spezialkenntnisse in Finanzierungsberatung (Leasing, Kreditvermittlung), Fahrzeugannahme und digitalen Verkaufstools. Umsatzbester Verkäufer im Autohaus Müller &amp; Söhne GmbH drei Jahre in Folge (2020–2022) mit einem persönlichen Jahresumsatz von bis zu 3,8 Mio. Euro.</w:t>
      </w:r>
    </w:p>
    <w:p>
      <w:pPr>
        <w:spacing w:after="0" w:before="300"/>
      </w:pPr>
      <w:r>
        <w:rPr>
          <w:rFonts w:ascii="Georgia" w:cs="Georgia" w:eastAsia="Georgia" w:hAnsi="Georgia"/>
          <w:b/>
          <w:bCs/>
          <w:caps/>
          <w:color w:val="1A1A2E"/>
          <w:spacing w:val="40"/>
          <w:sz w:val="26"/>
          <w:szCs w:val="26"/>
        </w:rPr>
        <w:t xml:space="preserve">Berufserfahrung</w:t>
      </w:r>
    </w:p>
    <w:p>
      <w:pPr>
        <w:pBdr>
          <w:bottom w:val="single" w:color="1E6FBB" w:sz="6" w:space="3"/>
        </w:pBdr>
        <w:spacing w:after="16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600"/>
        <w:gridCol w:w="120"/>
        <w:gridCol w:w="80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Georgia" w:cs="Georgia" w:eastAsia="Georgia" w:hAnsi="Georgia"/>
                <w:b/>
                <w:bCs/>
                <w:color w:val="1E6FBB"/>
                <w:sz w:val="17"/>
                <w:szCs w:val="17"/>
              </w:rPr>
              <w:t xml:space="preserve">02/2019
bis heute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single" w:color="D0E8F8" w:sz="4" w:space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23"/>
                <w:szCs w:val="23"/>
              </w:rPr>
              <w:t xml:space="preserve">Senior Automobilverkäufer – Neuwagen Premium</w:t>
            </w:r>
          </w:p>
          <w:p>
            <w:pPr>
              <w:spacing w:after="80" w:before="20"/>
            </w:pPr>
            <w:r>
              <w:rPr>
                <w:rFonts w:ascii="Georgia" w:cs="Georgia" w:eastAsia="Georgia" w:hAnsi="Georgia"/>
                <w:i/>
                <w:iCs/>
                <w:color w:val="1E6FBB"/>
                <w:sz w:val="19"/>
                <w:szCs w:val="19"/>
              </w:rPr>
              <w:t xml:space="preserve">Mercedes-Benz Autohaus Reichert GmbH</w:t>
            </w:r>
            <w:r>
              <w:rPr>
                <w:rFonts w:ascii="Georgia" w:cs="Georgia" w:eastAsia="Georgia" w:hAnsi="Georgia"/>
                <w:color w:val="7A8A96"/>
                <w:sz w:val="18"/>
                <w:szCs w:val="18"/>
              </w:rPr>
              <w:t xml:space="preserve">  ·  Stuttgart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Umfassende Beratung und Betreuung von Privat- und Gewerbekunden beim Kauf von Neufahrzeugen der Marken Mercedes-Benz und AMG – von der Bedarfsanalyse bis zur Fahrzeuguebergabe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Persoenlicher Jahresumsatz 2022: 3,8 Mio. Euro bei 112 verkauften Neufahrzeugen; Top-Performer des Autohauses drei Jahre in Folge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Erstellung individueller Finanzierungsangebote (Leasing, Barkauf, Kreditvermittlung ueber Mercedes-Benz Financial Services) mit einer Abschlussquote von 78 %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Aktiver Aufbau und Pflege eines Stammkundenstamms von ueber 340 Kontakten – 62 % der Abschluesse durch Empfehlungen oder Wiederkaeufer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Schulung und Onboarding von 3 neuen Verkaufsmitarbeitern; Einfuehrung eines strukturierten Nachfass-Prozesses via CRM (Salesforce Automotive)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Auszeichnung als Markenbotschafter Mercedes-Benz EQ (Elektromobilitaet) – spezialisierte Beratung zu Ladeinfrastruktur, Foerderungen und Reichweitenplanung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600"/>
        <w:gridCol w:w="120"/>
        <w:gridCol w:w="80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Georgia" w:cs="Georgia" w:eastAsia="Georgia" w:hAnsi="Georgia"/>
                <w:b/>
                <w:bCs/>
                <w:color w:val="1E6FBB"/>
                <w:sz w:val="17"/>
                <w:szCs w:val="17"/>
              </w:rPr>
              <w:t xml:space="preserve">06/2014
– 01/2019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single" w:color="D0E8F8" w:sz="4" w:space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23"/>
                <w:szCs w:val="23"/>
              </w:rPr>
              <w:t xml:space="preserve">Automobilverkäufer – Neu- &amp; Gebrauchtwagen</w:t>
            </w:r>
          </w:p>
          <w:p>
            <w:pPr>
              <w:spacing w:after="80" w:before="20"/>
            </w:pPr>
            <w:r>
              <w:rPr>
                <w:rFonts w:ascii="Georgia" w:cs="Georgia" w:eastAsia="Georgia" w:hAnsi="Georgia"/>
                <w:i/>
                <w:iCs/>
                <w:color w:val="1E6FBB"/>
                <w:sz w:val="19"/>
                <w:szCs w:val="19"/>
              </w:rPr>
              <w:t xml:space="preserve">Autohaus Mueller &amp; Soehne GmbH</w:t>
            </w:r>
            <w:r>
              <w:rPr>
                <w:rFonts w:ascii="Georgia" w:cs="Georgia" w:eastAsia="Georgia" w:hAnsi="Georgia"/>
                <w:color w:val="7A8A96"/>
                <w:sz w:val="18"/>
                <w:szCs w:val="18"/>
              </w:rPr>
              <w:t xml:space="preserve">  ·  Stuttgart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Verkauf von Neufahrzeugen (VW, SEAT, Skoda) sowie geprueften Gebrauchtwagen aus dem gesamten Konzernportfolio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Eigenstaendige Bearbeitung aller Vertragsphasen inkl. Inzahlungnahme, Bewertung von Gebrauchtwagen (DAT-Bewertung) und Koordination der Fahrzeugaufbereitung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Steigerung der persoenlichen Verkaufszahlen um 40 % zwischen 2015 und 2018 durch systematische Telefonakquise und konsequentes Lead-Management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Teilnahme an allen Hersteller-Produktschulungen (VW AG, Audi Academy) sowie Zertifizierung als VW-Markenbotschafter 2017</w:t>
            </w:r>
          </w:p>
        </w:tc>
      </w:tr>
    </w:tbl>
    <w:p>
      <w:pPr>
        <w:spacing w:after="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600"/>
        <w:gridCol w:w="120"/>
        <w:gridCol w:w="80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Georgia" w:cs="Georgia" w:eastAsia="Georgia" w:hAnsi="Georgia"/>
                <w:b/>
                <w:bCs/>
                <w:color w:val="1E6FBB"/>
                <w:sz w:val="17"/>
                <w:szCs w:val="17"/>
              </w:rPr>
              <w:t xml:space="preserve">08/2011
– 05/2014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single" w:color="D0E8F8" w:sz="4" w:space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23"/>
                <w:szCs w:val="23"/>
              </w:rPr>
              <w:t xml:space="preserve">Verkaufsberater / Serviceberater</w:t>
            </w:r>
          </w:p>
          <w:p>
            <w:pPr>
              <w:spacing w:after="80" w:before="20"/>
            </w:pPr>
            <w:r>
              <w:rPr>
                <w:rFonts w:ascii="Georgia" w:cs="Georgia" w:eastAsia="Georgia" w:hAnsi="Georgia"/>
                <w:i/>
                <w:iCs/>
                <w:color w:val="1E6FBB"/>
                <w:sz w:val="19"/>
                <w:szCs w:val="19"/>
              </w:rPr>
              <w:t xml:space="preserve">Toyota Niederlassung Stuttgart GmbH</w:t>
            </w:r>
            <w:r>
              <w:rPr>
                <w:rFonts w:ascii="Georgia" w:cs="Georgia" w:eastAsia="Georgia" w:hAnsi="Georgia"/>
                <w:color w:val="7A8A96"/>
                <w:sz w:val="18"/>
                <w:szCs w:val="18"/>
              </w:rPr>
              <w:t xml:space="preserve">  ·  Stuttgart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Erstberatung von Laufkundschaft sowie telefonische Kundenbetreuung im Neuwagen- und Zubehoerangebot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Unterstuetzung im After-Sales-Bereich: Annahme von Werkstattterminen, Upselling von Servicepaketen und Ausgabe von Leihfahrzeugen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before="4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Abschluss der internen Toyota-Salestraining-Zertifizierung (Level II) nach nur 14 Monaten</w:t>
            </w:r>
          </w:p>
        </w:tc>
      </w:tr>
    </w:tbl>
    <w:p>
      <w:pPr>
        <w:spacing w:after="0" w:before="300"/>
      </w:pPr>
      <w:r>
        <w:rPr>
          <w:rFonts w:ascii="Georgia" w:cs="Georgia" w:eastAsia="Georgia" w:hAnsi="Georgia"/>
          <w:b/>
          <w:bCs/>
          <w:caps/>
          <w:color w:val="1A1A2E"/>
          <w:spacing w:val="40"/>
          <w:sz w:val="26"/>
          <w:szCs w:val="26"/>
        </w:rPr>
        <w:t xml:space="preserve">Ausbildung &amp; Qualifikation</w:t>
      </w:r>
    </w:p>
    <w:p>
      <w:pPr>
        <w:pBdr>
          <w:bottom w:val="single" w:color="1E6FBB" w:sz="6" w:space="3"/>
        </w:pBdr>
        <w:spacing w:after="16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600"/>
        <w:gridCol w:w="120"/>
        <w:gridCol w:w="80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Georgia" w:cs="Georgia" w:eastAsia="Georgia" w:hAnsi="Georgia"/>
                <w:b/>
                <w:bCs/>
                <w:color w:val="1E6FBB"/>
                <w:sz w:val="17"/>
                <w:szCs w:val="17"/>
              </w:rPr>
              <w:t xml:space="preserve">08/2008
– 07/2011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single" w:color="D0E8F8" w:sz="4" w:space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21"/>
                <w:szCs w:val="21"/>
              </w:rPr>
              <w:t xml:space="preserve">Ausbildung: Automobilkaufmann (IHK)</w:t>
            </w:r>
          </w:p>
          <w:p>
            <w:pPr>
              <w:spacing w:after="60" w:before="20"/>
            </w:pPr>
            <w:r>
              <w:rPr>
                <w:rFonts w:ascii="Georgia" w:cs="Georgia" w:eastAsia="Georgia" w:hAnsi="Georgia"/>
                <w:i/>
                <w:iCs/>
                <w:color w:val="1E6FBB"/>
                <w:sz w:val="18"/>
                <w:szCs w:val="18"/>
              </w:rPr>
              <w:t xml:space="preserve">Autohaus Mueller &amp; Soehne GmbH  ·  IHK Stuttgart  ·  Abschluss: gut (1,9)</w:t>
            </w:r>
          </w:p>
          <w:p>
            <w:pPr>
              <w:spacing w:after="60" w:before="10"/>
            </w:pPr>
            <w:r>
              <w:rPr>
                <w:rFonts w:ascii="Georgia" w:cs="Georgia" w:eastAsia="Georgia" w:hAnsi="Georgia"/>
                <w:color w:val="7A8A96"/>
                <w:sz w:val="17"/>
                <w:szCs w:val="17"/>
              </w:rPr>
              <w:t xml:space="preserve">Schwerpunkte: Fahrzeugverkauf, Teile &amp; Zubehoer, Kfz-Finanzierung, Betriebswirtschaft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600"/>
        <w:gridCol w:w="120"/>
        <w:gridCol w:w="80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Georgia" w:cs="Georgia" w:eastAsia="Georgia" w:hAnsi="Georgia"/>
                <w:b/>
                <w:bCs/>
                <w:color w:val="1E6FBB"/>
                <w:sz w:val="17"/>
                <w:szCs w:val="17"/>
              </w:rPr>
              <w:t xml:space="preserve">09/2007
– 07/2008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single" w:color="D0E8F8" w:sz="4" w:space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8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21"/>
                <w:szCs w:val="21"/>
              </w:rPr>
              <w:t xml:space="preserve">Allgemeine Hochschulreife</w:t>
            </w:r>
          </w:p>
          <w:p>
            <w:pPr>
              <w:spacing w:after="60" w:before="20"/>
            </w:pPr>
            <w:r>
              <w:rPr>
                <w:rFonts w:ascii="Georgia" w:cs="Georgia" w:eastAsia="Georgia" w:hAnsi="Georgia"/>
                <w:i/>
                <w:iCs/>
                <w:color w:val="1E6FBB"/>
                <w:sz w:val="18"/>
                <w:szCs w:val="18"/>
              </w:rPr>
              <w:t xml:space="preserve">Friedrich-Schiller-Gymnasium Stuttgart  ·  Abiturnote: 2,3</w:t>
            </w:r>
          </w:p>
        </w:tc>
      </w:tr>
    </w:tbl>
    <w:p>
      <w:pPr>
        <w:spacing w:after="0" w:before="300"/>
      </w:pPr>
      <w:r>
        <w:rPr>
          <w:rFonts w:ascii="Georgia" w:cs="Georgia" w:eastAsia="Georgia" w:hAnsi="Georgia"/>
          <w:b/>
          <w:bCs/>
          <w:caps/>
          <w:color w:val="1A1A2E"/>
          <w:spacing w:val="40"/>
          <w:sz w:val="26"/>
          <w:szCs w:val="26"/>
        </w:rPr>
        <w:t xml:space="preserve">Auszeichnungen &amp; Weiterbildung</w:t>
      </w:r>
    </w:p>
    <w:p>
      <w:pPr>
        <w:pBdr>
          <w:bottom w:val="single" w:color="1E6FBB" w:sz="6" w:space="3"/>
        </w:pBdr>
        <w:spacing w:after="16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600"/>
        <w:gridCol w:w="120"/>
        <w:gridCol w:w="80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Georgia" w:cs="Georgia" w:eastAsia="Georgia" w:hAnsi="Georgia"/>
                <w:b/>
                <w:bCs/>
                <w:color w:val="1E6FBB"/>
                <w:sz w:val="17"/>
                <w:szCs w:val="17"/>
              </w:rPr>
              <w:t xml:space="preserve">2020 – 2022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single" w:color="D0E8F8" w:sz="4" w:space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80"/>
              <w:right w:type="dxa" w:w="0"/>
            </w:tcMar>
          </w:tcPr>
          <w:p>
            <w:pPr>
              <w:spacing w:after="20" w:before="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21"/>
                <w:szCs w:val="21"/>
              </w:rPr>
              <w:t xml:space="preserve">Bester Verkaeuf er des Jahres – 3x in Folge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Auszeichnung der Mercedes-Benz Autohaus Reichert GmbH fuer den hoechsten Einzelumsatz im Neuwagenbereich; ueberreicht auf der jaehrlichen Verkaeufermesse Stuttgart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600"/>
        <w:gridCol w:w="120"/>
        <w:gridCol w:w="80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Georgia" w:cs="Georgia" w:eastAsia="Georgia" w:hAnsi="Georgia"/>
                <w:b/>
                <w:bCs/>
                <w:color w:val="1E6FBB"/>
                <w:sz w:val="17"/>
                <w:szCs w:val="17"/>
              </w:rPr>
              <w:t xml:space="preserve">2023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single" w:color="D0E8F8" w:sz="4" w:space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80"/>
              <w:right w:type="dxa" w:w="0"/>
            </w:tcMar>
          </w:tcPr>
          <w:p>
            <w:pPr>
              <w:spacing w:after="20" w:before="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21"/>
                <w:szCs w:val="21"/>
              </w:rPr>
              <w:t xml:space="preserve">Zertifizierung: Elektromobilitaet &amp; Ladeinfrastruktur (Mercedes-Benz Academy)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5-taegige Intensivschulung zu EQ-Modellpalette, Batterietechnologie, Ladeloesungen und staatlichen Foerderprogrammen (BAFA, KfW)</w:t>
            </w:r>
          </w:p>
        </w:tc>
      </w:tr>
    </w:tbl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600"/>
        <w:gridCol w:w="120"/>
        <w:gridCol w:w="8026"/>
      </w:tblGrid>
      <w:tr>
        <w:tc>
          <w:tcPr>
            <w:tcW w:type="dxa" w:w="1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right"/>
            </w:pPr>
            <w:r>
              <w:rPr>
                <w:rFonts w:ascii="Georgia" w:cs="Georgia" w:eastAsia="Georgia" w:hAnsi="Georgia"/>
                <w:b/>
                <w:bCs/>
                <w:color w:val="1E6FBB"/>
                <w:sz w:val="17"/>
                <w:szCs w:val="17"/>
              </w:rPr>
              <w:t xml:space="preserve">2021</w:t>
            </w:r>
          </w:p>
        </w:tc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single" w:color="D0E8F8" w:sz="4" w:space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/>
            </w:r>
          </w:p>
        </w:tc>
        <w:tc>
          <w:tcPr>
            <w:tcW w:type="dxa" w:w="80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200"/>
              <w:bottom w:type="dxa" w:w="80"/>
              <w:right w:type="dxa" w:w="0"/>
            </w:tcMar>
          </w:tcPr>
          <w:p>
            <w:pPr>
              <w:spacing w:after="20" w:before="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21"/>
                <w:szCs w:val="21"/>
              </w:rPr>
              <w:t xml:space="preserve">Seminar: Verhandlungsfuehrung &amp; Abschlusstechniken im Premiumvertrieb</w:t>
            </w:r>
          </w:p>
          <w:p>
            <w:pPr>
              <w:spacing w:after="60" w:before="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2-taegiges Praxisseminar, Haufe Akademie Stuttgart – Schwerpunkte: Einwandbehandlung, Preisverhandlung, Customer Experience</w:t>
            </w:r>
          </w:p>
        </w:tc>
      </w:tr>
    </w:tbl>
    <w:p>
      <w:pPr>
        <w:spacing w:after="0" w:before="300"/>
      </w:pPr>
      <w:r>
        <w:rPr>
          <w:rFonts w:ascii="Georgia" w:cs="Georgia" w:eastAsia="Georgia" w:hAnsi="Georgia"/>
          <w:b/>
          <w:bCs/>
          <w:caps/>
          <w:color w:val="1A1A2E"/>
          <w:spacing w:val="40"/>
          <w:sz w:val="26"/>
          <w:szCs w:val="26"/>
        </w:rPr>
        <w:t xml:space="preserve">Kenntnisse, Sprachen &amp; Staerken</w:t>
      </w:r>
    </w:p>
    <w:p>
      <w:pPr>
        <w:pBdr>
          <w:bottom w:val="single" w:color="1E6FBB" w:sz="6" w:space="3"/>
        </w:pBdr>
        <w:spacing w:after="160" w:before="60"/>
      </w:pPr>
      <w:r>
        <w:t xml:space="preserve"/>
      </w:r>
    </w:p>
    <w:tbl>
      <w:tblPr>
        <w:tblW w:type="dxa" w:w="9746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248"/>
        <w:gridCol w:w="3248"/>
        <w:gridCol w:w="3250"/>
      </w:tblGrid>
      <w:tr>
        <w:tc>
          <w:tcPr>
            <w:tcW w:type="dxa" w:w="324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aps/>
                <w:color w:val="1A1A2E"/>
                <w:spacing w:val="40"/>
                <w:sz w:val="20"/>
                <w:szCs w:val="20"/>
              </w:rPr>
              <w:t xml:space="preserve">TOOLS &amp; SOFTWARE</w:t>
            </w:r>
          </w:p>
          <w:p>
            <w:pPr>
              <w:pBdr>
                <w:bottom w:val="single" w:color="1E6FBB" w:sz="4" w:space="2"/>
              </w:pBdr>
              <w:spacing w:after="120" w:before="60"/>
            </w:pPr>
            <w:r>
              <w:t xml:space="preserve"/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Salesforce Automotive CRM</w:t>
            </w:r>
          </w:p>
          <w:p>
            <w:pPr>
              <w:spacing w:after="50" w:before="8"/>
            </w:pPr>
            <w:r>
              <w:rPr>
                <w:rFonts w:ascii="Georgia" w:cs="Georgia" w:eastAsia="Georgia" w:hAnsi="Georgia"/>
                <w:i/>
                <w:iCs/>
                <w:color w:val="7A8A96"/>
                <w:sz w:val="17"/>
                <w:szCs w:val="17"/>
              </w:rPr>
              <w:t xml:space="preserve">taeglich, Expertenkenntnis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DAT-Bewertungssystem</w:t>
            </w:r>
          </w:p>
          <w:p>
            <w:pPr>
              <w:spacing w:after="50" w:before="8"/>
            </w:pPr>
            <w:r>
              <w:rPr>
                <w:rFonts w:ascii="Georgia" w:cs="Georgia" w:eastAsia="Georgia" w:hAnsi="Georgia"/>
                <w:i/>
                <w:iCs/>
                <w:color w:val="7A8A96"/>
                <w:sz w:val="17"/>
                <w:szCs w:val="17"/>
              </w:rPr>
              <w:t xml:space="preserve">Fahrzeugbewertung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autoCRM / Autoline</w:t>
            </w:r>
          </w:p>
          <w:p>
            <w:pPr>
              <w:spacing w:after="50" w:before="8"/>
            </w:pPr>
            <w:r>
              <w:rPr>
                <w:rFonts w:ascii="Georgia" w:cs="Georgia" w:eastAsia="Georgia" w:hAnsi="Georgia"/>
                <w:i/>
                <w:iCs/>
                <w:color w:val="7A8A96"/>
                <w:sz w:val="17"/>
                <w:szCs w:val="17"/>
              </w:rPr>
              <w:t xml:space="preserve">versiert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Mercedes-Benz XENTRY</w:t>
            </w:r>
          </w:p>
          <w:p>
            <w:pPr>
              <w:spacing w:after="50" w:before="8"/>
            </w:pPr>
            <w:r>
              <w:rPr>
                <w:rFonts w:ascii="Georgia" w:cs="Georgia" w:eastAsia="Georgia" w:hAnsi="Georgia"/>
                <w:i/>
                <w:iCs/>
                <w:color w:val="7A8A96"/>
                <w:sz w:val="17"/>
                <w:szCs w:val="17"/>
              </w:rPr>
              <w:t xml:space="preserve">Produktkonfigurator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MS Office 365</w:t>
            </w:r>
          </w:p>
          <w:p>
            <w:pPr>
              <w:spacing w:after="50" w:before="8"/>
            </w:pPr>
            <w:r>
              <w:rPr>
                <w:rFonts w:ascii="Georgia" w:cs="Georgia" w:eastAsia="Georgia" w:hAnsi="Georgia"/>
                <w:i/>
                <w:iCs/>
                <w:color w:val="7A8A96"/>
                <w:sz w:val="17"/>
                <w:szCs w:val="17"/>
              </w:rPr>
              <w:t xml:space="preserve">Word, Excel, Outlook, Teams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DMS (Dealer Management)</w:t>
            </w:r>
          </w:p>
          <w:p>
            <w:pPr>
              <w:spacing w:after="50" w:before="8"/>
            </w:pPr>
            <w:r>
              <w:rPr>
                <w:rFonts w:ascii="Georgia" w:cs="Georgia" w:eastAsia="Georgia" w:hAnsi="Georgia"/>
                <w:i/>
                <w:iCs/>
                <w:color w:val="7A8A96"/>
                <w:sz w:val="17"/>
                <w:szCs w:val="17"/>
              </w:rPr>
              <w:t xml:space="preserve">Grundkenntnisse</w:t>
            </w:r>
          </w:p>
        </w:tc>
        <w:tc>
          <w:tcPr>
            <w:tcW w:type="dxa" w:w="3248"/>
            <w:tcBorders>
              <w:top w:val="none" w:color="FFFFFF" w:sz="0"/>
              <w:left w:val="single" w:color="D0E8F8" w:sz="3"/>
              <w:bottom w:val="none" w:color="FFFFFF" w:sz="0"/>
              <w:right w:val="none" w:color="FFFFFF" w:sz="0"/>
            </w:tcBorders>
            <w:tcMar>
              <w:top w:type="dxa" w:w="0"/>
              <w:left w:type="dxa" w:w="240"/>
              <w:bottom w:type="dxa" w:w="0"/>
              <w:right w:type="dxa" w:w="24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aps/>
                <w:color w:val="1A1A2E"/>
                <w:spacing w:val="40"/>
                <w:sz w:val="20"/>
                <w:szCs w:val="20"/>
              </w:rPr>
              <w:t xml:space="preserve">SPRACHEN</w:t>
            </w:r>
          </w:p>
          <w:p>
            <w:pPr>
              <w:pBdr>
                <w:bottom w:val="single" w:color="1E6FBB" w:sz="4" w:space="2"/>
              </w:pBdr>
              <w:spacing w:after="120" w:before="60"/>
            </w:pPr>
            <w:r>
              <w:t xml:space="preserve"/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Deutsch  </w:t>
            </w:r>
            <w:r>
              <w:rPr>
                <w:rFonts w:ascii="Georgia" w:cs="Georgia" w:eastAsia="Georgia" w:hAnsi="Georgia"/>
                <w:color w:val="1E6FBB"/>
                <w:sz w:val="18"/>
                <w:szCs w:val="18"/>
              </w:rPr>
              <w:t xml:space="preserve">★★★★★</w:t>
            </w:r>
            <w:r>
              <w:rPr>
                <w:rFonts w:ascii="Georgia" w:cs="Georgia" w:eastAsia="Georgia" w:hAnsi="Georgia"/>
                <w:color w:val="D0E8F8"/>
                <w:sz w:val="18"/>
                <w:szCs w:val="18"/>
              </w:rPr>
              <w:t xml:space="preserve"/>
            </w:r>
          </w:p>
          <w:p>
            <w:pPr>
              <w:spacing w:after="40" w:before="0"/>
            </w:pPr>
            <w:r>
              <w:rPr>
                <w:rFonts w:ascii="Georgia" w:cs="Georgia" w:eastAsia="Georgia" w:hAnsi="Georgia"/>
                <w:i/>
                <w:iCs/>
                <w:color w:val="7A8A96"/>
                <w:sz w:val="16"/>
                <w:szCs w:val="16"/>
              </w:rPr>
              <w:t xml:space="preserve">Muttersprache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Englisch  </w:t>
            </w:r>
            <w:r>
              <w:rPr>
                <w:rFonts w:ascii="Georgia" w:cs="Georgia" w:eastAsia="Georgia" w:hAnsi="Georgia"/>
                <w:color w:val="1E6FBB"/>
                <w:sz w:val="18"/>
                <w:szCs w:val="18"/>
              </w:rPr>
              <w:t xml:space="preserve">★★★★</w:t>
            </w:r>
            <w:r>
              <w:rPr>
                <w:rFonts w:ascii="Georgia" w:cs="Georgia" w:eastAsia="Georgia" w:hAnsi="Georgia"/>
                <w:color w:val="D0E8F8"/>
                <w:sz w:val="18"/>
                <w:szCs w:val="18"/>
              </w:rPr>
              <w:t xml:space="preserve">☆</w:t>
            </w:r>
          </w:p>
          <w:p>
            <w:pPr>
              <w:spacing w:after="40" w:before="0"/>
            </w:pPr>
            <w:r>
              <w:rPr>
                <w:rFonts w:ascii="Georgia" w:cs="Georgia" w:eastAsia="Georgia" w:hAnsi="Georgia"/>
                <w:i/>
                <w:iCs/>
                <w:color w:val="7A8A96"/>
                <w:sz w:val="16"/>
                <w:szCs w:val="16"/>
              </w:rPr>
              <w:t xml:space="preserve">Geschaeftsfluessig (B2)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Tuerkisch  </w:t>
            </w:r>
            <w:r>
              <w:rPr>
                <w:rFonts w:ascii="Georgia" w:cs="Georgia" w:eastAsia="Georgia" w:hAnsi="Georgia"/>
                <w:color w:val="1E6FBB"/>
                <w:sz w:val="18"/>
                <w:szCs w:val="18"/>
              </w:rPr>
              <w:t xml:space="preserve">★★★★★</w:t>
            </w:r>
            <w:r>
              <w:rPr>
                <w:rFonts w:ascii="Georgia" w:cs="Georgia" w:eastAsia="Georgia" w:hAnsi="Georgia"/>
                <w:color w:val="D0E8F8"/>
                <w:sz w:val="18"/>
                <w:szCs w:val="18"/>
              </w:rPr>
              <w:t xml:space="preserve"/>
            </w:r>
          </w:p>
          <w:p>
            <w:pPr>
              <w:spacing w:after="40" w:before="0"/>
            </w:pPr>
            <w:r>
              <w:rPr>
                <w:rFonts w:ascii="Georgia" w:cs="Georgia" w:eastAsia="Georgia" w:hAnsi="Georgia"/>
                <w:i/>
                <w:iCs/>
                <w:color w:val="7A8A96"/>
                <w:sz w:val="16"/>
                <w:szCs w:val="16"/>
              </w:rPr>
              <w:t xml:space="preserve">Fliessend (C1)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Russisch  </w:t>
            </w:r>
            <w:r>
              <w:rPr>
                <w:rFonts w:ascii="Georgia" w:cs="Georgia" w:eastAsia="Georgia" w:hAnsi="Georgia"/>
                <w:color w:val="1E6FBB"/>
                <w:sz w:val="18"/>
                <w:szCs w:val="18"/>
              </w:rPr>
              <w:t xml:space="preserve">★★</w:t>
            </w:r>
            <w:r>
              <w:rPr>
                <w:rFonts w:ascii="Georgia" w:cs="Georgia" w:eastAsia="Georgia" w:hAnsi="Georgia"/>
                <w:color w:val="D0E8F8"/>
                <w:sz w:val="18"/>
                <w:szCs w:val="18"/>
              </w:rPr>
              <w:t xml:space="preserve">☆☆☆</w:t>
            </w:r>
          </w:p>
          <w:p>
            <w:pPr>
              <w:spacing w:after="40" w:before="0"/>
            </w:pPr>
            <w:r>
              <w:rPr>
                <w:rFonts w:ascii="Georgia" w:cs="Georgia" w:eastAsia="Georgia" w:hAnsi="Georgia"/>
                <w:i/>
                <w:iCs/>
                <w:color w:val="7A8A96"/>
                <w:sz w:val="16"/>
                <w:szCs w:val="16"/>
              </w:rPr>
              <w:t xml:space="preserve">Grundkenntnisse (A2)</w:t>
            </w:r>
          </w:p>
          <w:p>
            <w:pPr>
              <w:spacing w:after="0" w:before="140"/>
            </w:pPr>
            <w:r>
              <w:t xml:space="preserve"/>
            </w:r>
          </w:p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aps/>
                <w:color w:val="1A1A2E"/>
                <w:spacing w:val="40"/>
                <w:sz w:val="20"/>
                <w:szCs w:val="20"/>
              </w:rPr>
              <w:t xml:space="preserve">INTERESSEN</w:t>
            </w:r>
          </w:p>
          <w:p>
            <w:pPr>
              <w:pBdr>
                <w:bottom w:val="single" w:color="1E6FBB" w:sz="4" w:space="2"/>
              </w:pBdr>
              <w:spacing w:after="120" w:before="60"/>
            </w:pPr>
            <w:r>
              <w:t xml:space="preserve"/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Motorsport (ADAC Clubsport)  ·  Oldtimer-Restaurierung  ·  Radsport  ·  Reisen</w:t>
            </w:r>
          </w:p>
        </w:tc>
        <w:tc>
          <w:tcPr>
            <w:tcW w:type="dxa" w:w="3250"/>
            <w:tcBorders>
              <w:top w:val="none" w:color="FFFFFF" w:sz="0"/>
              <w:left w:val="single" w:color="D0E8F8" w:sz="3"/>
              <w:bottom w:val="none" w:color="FFFFFF" w:sz="0"/>
              <w:right w:val="none" w:color="FFFFFF" w:sz="0"/>
            </w:tcBorders>
            <w:tcMar>
              <w:top w:type="dxa" w:w="0"/>
              <w:left w:type="dxa" w:w="24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aps/>
                <w:color w:val="1A1A2E"/>
                <w:spacing w:val="40"/>
                <w:sz w:val="20"/>
                <w:szCs w:val="20"/>
              </w:rPr>
              <w:t xml:space="preserve">PERSOENLICHE STAERKEN</w:t>
            </w:r>
          </w:p>
          <w:p>
            <w:pPr>
              <w:pBdr>
                <w:bottom w:val="single" w:color="1E6FBB" w:sz="4" w:space="2"/>
              </w:pBdr>
              <w:spacing w:after="120" w:before="60"/>
            </w:pPr>
            <w:r>
              <w:t xml:space="preserve"/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Abschlussstark &amp; zielorientiert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Empathische Beratungskompetenz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Hohe Eigenmotivation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Markenkenntnisse Premium-Segment</w:t>
            </w:r>
          </w:p>
          <w:p>
            <w:pPr>
              <w:spacing w:after="0" w:before="50"/>
            </w:pPr>
            <w:r>
              <w:rPr>
                <w:rFonts w:ascii="Georgia" w:cs="Georgia" w:eastAsia="Georgia" w:hAnsi="Georgia"/>
                <w:b/>
                <w:bCs/>
                <w:color w:val="1E1E1E"/>
                <w:sz w:val="19"/>
                <w:szCs w:val="19"/>
              </w:rPr>
              <w:t xml:space="preserve">Netzwerkdenken &amp; Kundenbindung</w:t>
            </w:r>
          </w:p>
          <w:p>
            <w:pPr>
              <w:spacing w:after="0" w:before="120"/>
            </w:pPr>
            <w:r>
              <w:t xml:space="preserve"/>
            </w:r>
          </w:p>
          <w:p>
            <w:pPr>
              <w:spacing w:after="0" w:before="0"/>
            </w:pPr>
            <w:r>
              <w:rPr>
                <w:rFonts w:ascii="Georgia" w:cs="Georgia" w:eastAsia="Georgia" w:hAnsi="Georgia"/>
                <w:b/>
                <w:bCs/>
                <w:caps/>
                <w:color w:val="1A1A2E"/>
                <w:spacing w:val="40"/>
                <w:sz w:val="20"/>
                <w:szCs w:val="20"/>
              </w:rPr>
              <w:t xml:space="preserve">FACHKENNTNISSE</w:t>
            </w:r>
          </w:p>
          <w:p>
            <w:pPr>
              <w:pBdr>
                <w:bottom w:val="single" w:color="1E6FBB" w:sz="4" w:space="2"/>
              </w:pBdr>
              <w:spacing w:after="120" w:before="60"/>
            </w:pPr>
            <w:r>
              <w:t xml:space="preserve"/>
            </w:r>
          </w:p>
          <w:p>
            <w:pPr>
              <w:spacing w:after="40" w:before="50"/>
            </w:pPr>
            <w:r>
              <w:rPr>
                <w:rFonts w:ascii="Georgia" w:cs="Georgia" w:eastAsia="Georgia" w:hAnsi="Georgia"/>
                <w:color w:val="3A4A58"/>
                <w:sz w:val="18"/>
                <w:szCs w:val="18"/>
              </w:rPr>
              <w:t xml:space="preserve">Finanzierungsberatung  ·  Leasing  ·  Inzahlungnahme  ·  DAT-Bewertung  ·  Fahrzeugkonfiguration  ·  After-Sales  ·  E-Mobilitaet  ·  BAFA-Foerderung</w:t>
            </w:r>
          </w:p>
        </w:tc>
      </w:tr>
    </w:tbl>
    <w:p>
      <w:pPr>
        <w:spacing w:after="0" w:before="200"/>
      </w:pPr>
      <w:r>
        <w:t xml:space="preserve"/>
      </w:r>
    </w:p>
    <w:sectPr>
      <w:pgSz w:w="11906" w:h="16838" w:orient="portrait"/>
      <w:pgMar w:top="720" w:right="1080" w:bottom="72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·"/>
      <w:lvlJc w:val="left"/>
      <w:pPr>
        <w:ind w:left="300" w:hanging="180"/>
      </w:pPr>
      <w:rPr>
        <w:rFonts w:ascii="Georgia" w:cs="Georgia" w:eastAsia="Georgia" w:hAnsi="Georgia"/>
        <w:color w:val="1E6FBB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color w:val="1E1E1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2026-05-15T11:25:50.698Z</dcterms:created>
  <dcterms:modified xsi:type="dcterms:W3CDTF">2026-05-15T11:25:50.711Z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