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Ind w:w="-4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9382"/>
      </w:tblGrid>
      <w:tr w:rsidR="00503204" w14:paraId="2819A66E" w14:textId="77777777" w:rsidTr="006F5AB8">
        <w:tblPrEx>
          <w:tblCellMar>
            <w:top w:w="0" w:type="dxa"/>
            <w:bottom w:w="0" w:type="dxa"/>
          </w:tblCellMar>
        </w:tblPrEx>
        <w:tc>
          <w:tcPr>
            <w:tcW w:w="30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A52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0DFFB3A3" w14:textId="77777777" w:rsidR="00503204" w:rsidRDefault="00000000">
            <w:pPr>
              <w:spacing w:before="200" w:after="40"/>
            </w:pPr>
            <w:r>
              <w:rPr>
                <w:b/>
                <w:bCs/>
                <w:color w:val="FFFFFF"/>
                <w:spacing w:val="30"/>
                <w:sz w:val="34"/>
                <w:szCs w:val="34"/>
              </w:rPr>
              <w:t>KATHARINA</w:t>
            </w:r>
          </w:p>
          <w:p w14:paraId="259B3481" w14:textId="77777777" w:rsidR="00503204" w:rsidRDefault="00000000">
            <w:pPr>
              <w:spacing w:after="80"/>
            </w:pPr>
            <w:r>
              <w:rPr>
                <w:b/>
                <w:bCs/>
                <w:color w:val="E07A3C"/>
                <w:spacing w:val="30"/>
                <w:sz w:val="34"/>
                <w:szCs w:val="34"/>
              </w:rPr>
              <w:t>HOFFMANN</w:t>
            </w:r>
          </w:p>
          <w:p w14:paraId="4E3A0CDB" w14:textId="77777777" w:rsidR="00503204" w:rsidRDefault="00000000">
            <w:pPr>
              <w:spacing w:after="240"/>
              <w:rPr>
                <w:i/>
                <w:iCs/>
                <w:color w:val="9FB3C8"/>
              </w:rPr>
            </w:pPr>
            <w:r>
              <w:rPr>
                <w:i/>
                <w:iCs/>
                <w:color w:val="9FB3C8"/>
              </w:rPr>
              <w:t>HR Managerin (M.A.)</w:t>
            </w:r>
          </w:p>
          <w:p w14:paraId="7C4DCC2C" w14:textId="2A7E97C8" w:rsidR="006F5AB8" w:rsidRDefault="006F5AB8">
            <w:pPr>
              <w:spacing w:after="240"/>
            </w:pPr>
            <w:r>
              <w:t xml:space="preserve">     </w:t>
            </w:r>
            <w:r>
              <w:rPr>
                <w:i/>
                <w:iCs/>
                <w:noProof/>
                <w:color w:val="9FB3C8"/>
              </w:rPr>
              <w:drawing>
                <wp:inline distT="0" distB="0" distL="0" distR="0" wp14:anchorId="6B85172F" wp14:editId="00FC53D3">
                  <wp:extent cx="1125529" cy="1200150"/>
                  <wp:effectExtent l="0" t="0" r="0" b="0"/>
                  <wp:docPr id="8619965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727" cy="120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C1F27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Kontakt</w:t>
            </w:r>
          </w:p>
          <w:p w14:paraId="0013DCBC" w14:textId="77777777" w:rsidR="00503204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Adresse</w:t>
            </w:r>
          </w:p>
          <w:p w14:paraId="1507C94E" w14:textId="77777777" w:rsidR="00503204" w:rsidRDefault="00000000">
            <w:pPr>
              <w:spacing w:after="20" w:line="264" w:lineRule="auto"/>
            </w:pPr>
            <w:r>
              <w:rPr>
                <w:color w:val="9FB3C8"/>
                <w:sz w:val="18"/>
                <w:szCs w:val="18"/>
              </w:rPr>
              <w:t>Kurfürstendamm 142</w:t>
            </w:r>
          </w:p>
          <w:p w14:paraId="66C260DE" w14:textId="77777777" w:rsidR="00503204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10711 Berlin</w:t>
            </w:r>
          </w:p>
          <w:p w14:paraId="27EE7031" w14:textId="3B09C5F6" w:rsidR="00503204" w:rsidRDefault="00000000" w:rsidP="006F5AB8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Telefon</w:t>
            </w:r>
          </w:p>
          <w:p w14:paraId="0152BCC7" w14:textId="77777777" w:rsidR="00503204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0172 / 56 84 213</w:t>
            </w:r>
          </w:p>
          <w:p w14:paraId="5E20E1E0" w14:textId="77777777" w:rsidR="00503204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E-Mail</w:t>
            </w:r>
          </w:p>
          <w:p w14:paraId="2E864870" w14:textId="77777777" w:rsidR="00503204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k.hoffmann@e-mail.de</w:t>
            </w:r>
          </w:p>
          <w:p w14:paraId="7095AB81" w14:textId="77777777" w:rsidR="00503204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LinkedIn</w:t>
            </w:r>
          </w:p>
          <w:p w14:paraId="38E16442" w14:textId="77777777" w:rsidR="00503204" w:rsidRDefault="00000000">
            <w:pPr>
              <w:spacing w:after="160" w:line="264" w:lineRule="auto"/>
            </w:pPr>
            <w:r>
              <w:rPr>
                <w:color w:val="9FB3C8"/>
                <w:sz w:val="18"/>
                <w:szCs w:val="18"/>
              </w:rPr>
              <w:t>linkedin.com/in/khoffmann</w:t>
            </w:r>
          </w:p>
          <w:p w14:paraId="39CFFD23" w14:textId="77777777" w:rsidR="00503204" w:rsidRDefault="00000000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Geburtsdatum</w:t>
            </w:r>
          </w:p>
          <w:p w14:paraId="7B2EF44A" w14:textId="77777777" w:rsidR="00503204" w:rsidRDefault="00000000">
            <w:pPr>
              <w:spacing w:after="80" w:line="264" w:lineRule="auto"/>
            </w:pPr>
            <w:r>
              <w:rPr>
                <w:color w:val="9FB3C8"/>
                <w:sz w:val="18"/>
                <w:szCs w:val="18"/>
              </w:rPr>
              <w:t>22.03.1987 in München</w:t>
            </w:r>
          </w:p>
          <w:p w14:paraId="535EAD26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Sprachen</w:t>
            </w:r>
          </w:p>
          <w:p w14:paraId="722564CA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Deutsch</w:t>
            </w:r>
          </w:p>
          <w:p w14:paraId="1F989F5B" w14:textId="77777777" w:rsidR="00503204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Muttersprache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0586B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6373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20BB3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B8B2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5D3A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254C8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F61DAF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D6411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4C16E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D9078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EC4101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1BEA1BCB" w14:textId="77777777" w:rsidR="00503204" w:rsidRDefault="00503204">
            <w:pPr>
              <w:spacing w:line="120" w:lineRule="auto"/>
            </w:pPr>
          </w:p>
          <w:p w14:paraId="7F38F962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Englisch</w:t>
            </w:r>
          </w:p>
          <w:p w14:paraId="47C41F1C" w14:textId="77777777" w:rsidR="00503204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Verhandlungssicher (C1)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34510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EA4E6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EF8CC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B7E1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19D08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24A3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5379C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30E2C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39828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11F2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424B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23837D67" w14:textId="77777777" w:rsidR="00503204" w:rsidRDefault="00503204">
            <w:pPr>
              <w:spacing w:line="120" w:lineRule="auto"/>
            </w:pPr>
          </w:p>
          <w:p w14:paraId="066EA0F4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Französisch</w:t>
            </w:r>
          </w:p>
          <w:p w14:paraId="5D215D85" w14:textId="77777777" w:rsidR="00503204" w:rsidRDefault="00000000">
            <w:pPr>
              <w:spacing w:after="40" w:line="264" w:lineRule="auto"/>
            </w:pPr>
            <w:r>
              <w:rPr>
                <w:color w:val="9FB3C8"/>
                <w:sz w:val="16"/>
                <w:szCs w:val="16"/>
              </w:rPr>
              <w:t>Fließend (B2)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3C9DAE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0DAFF3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3E80C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A0E5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514B8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8AD0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22196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F34A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030D16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9D47E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9B4E6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45559408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HR-Software</w:t>
            </w:r>
          </w:p>
          <w:p w14:paraId="7F1CCB32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SAP SuccessFactors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7E21E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AC4AA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7D9EF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305853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B95253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839C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EC87D8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241E1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A25FA6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C253F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D8F5E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76867BA4" w14:textId="77777777" w:rsidR="00503204" w:rsidRDefault="00503204">
            <w:pPr>
              <w:spacing w:line="120" w:lineRule="auto"/>
            </w:pPr>
          </w:p>
          <w:p w14:paraId="2042367F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Personio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38291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1599D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47ADB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DFD224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8DA3A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CA2E0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1375B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55894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23FA4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45982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B4E57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1AD39E0B" w14:textId="77777777" w:rsidR="00503204" w:rsidRDefault="00503204">
            <w:pPr>
              <w:spacing w:line="120" w:lineRule="auto"/>
            </w:pPr>
          </w:p>
          <w:p w14:paraId="4362DD25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Workday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63DDB4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AA36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C0494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8914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9759B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192F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0483A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FB6E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7BF77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8F704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295CE7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4B646CA0" w14:textId="77777777" w:rsidR="00503204" w:rsidRDefault="00503204">
            <w:pPr>
              <w:spacing w:line="120" w:lineRule="auto"/>
            </w:pPr>
          </w:p>
          <w:p w14:paraId="66A80313" w14:textId="77777777" w:rsidR="00503204" w:rsidRDefault="00000000">
            <w:pPr>
              <w:spacing w:after="40" w:line="264" w:lineRule="auto"/>
            </w:pPr>
            <w:r>
              <w:rPr>
                <w:b/>
                <w:bCs/>
                <w:color w:val="E8EDF2"/>
                <w:sz w:val="18"/>
                <w:szCs w:val="18"/>
              </w:rPr>
              <w:t>DATEV LODAS</w:t>
            </w:r>
          </w:p>
          <w:tbl>
            <w:tblPr>
              <w:tblW w:w="2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  <w:gridCol w:w="220"/>
            </w:tblGrid>
            <w:tr w:rsidR="00503204" w14:paraId="6CD564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ADEA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C4B9D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3DA08D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504E2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D92CC4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72CCD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E86E5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E07A3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A9D189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86683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  <w:tc>
                <w:tcPr>
                  <w:tcW w:w="220" w:type="dxa"/>
                  <w:tcBorders>
                    <w:top w:val="single" w:sz="2" w:space="0" w:color="1F3A52"/>
                    <w:left w:val="single" w:sz="2" w:space="0" w:color="1F3A52"/>
                    <w:bottom w:val="single" w:sz="2" w:space="0" w:color="1F3A52"/>
                    <w:right w:val="single" w:sz="2" w:space="0" w:color="1F3A52"/>
                  </w:tcBorders>
                  <w:shd w:val="clear" w:color="auto" w:fill="3D5A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17F17" w14:textId="77777777" w:rsidR="00503204" w:rsidRDefault="00000000">
                  <w:pPr>
                    <w:spacing w:line="120" w:lineRule="auto"/>
                  </w:pPr>
                  <w:r>
                    <w:rPr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14:paraId="1EEA34B2" w14:textId="77777777" w:rsidR="00503204" w:rsidRDefault="00503204">
            <w:pPr>
              <w:spacing w:line="80" w:lineRule="auto"/>
            </w:pPr>
          </w:p>
          <w:p w14:paraId="19F44F3B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Zertifikate</w:t>
            </w:r>
          </w:p>
          <w:p w14:paraId="4C90579C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SHRM Senior Certified Professional</w:t>
            </w:r>
          </w:p>
          <w:p w14:paraId="587DD8F5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Geprüfte Personalfachkauffrau (IHK)</w:t>
            </w:r>
          </w:p>
          <w:p w14:paraId="6EF90E4F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lastRenderedPageBreak/>
              <w:t>Agile HR Practitioner</w:t>
            </w:r>
          </w:p>
          <w:p w14:paraId="63A6EEB3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DSGVO im Personalwesen</w:t>
            </w:r>
          </w:p>
          <w:p w14:paraId="16202890" w14:textId="77777777" w:rsidR="00503204" w:rsidRDefault="00503204">
            <w:pPr>
              <w:spacing w:line="160" w:lineRule="auto"/>
            </w:pPr>
          </w:p>
          <w:p w14:paraId="6AC0E67D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Interessen</w:t>
            </w:r>
          </w:p>
          <w:p w14:paraId="055742DF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HR-Netzwerk Berlin (Vorstand)</w:t>
            </w:r>
          </w:p>
          <w:p w14:paraId="7FAD2958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Mentoring im Programm „Frauen führen“</w:t>
            </w:r>
          </w:p>
          <w:p w14:paraId="311807FC" w14:textId="77777777" w:rsidR="00503204" w:rsidRDefault="00000000">
            <w:pPr>
              <w:pStyle w:val="Listenabsatz"/>
              <w:numPr>
                <w:ilvl w:val="0"/>
                <w:numId w:val="2"/>
              </w:numPr>
              <w:spacing w:after="80" w:line="264" w:lineRule="auto"/>
            </w:pPr>
            <w:r>
              <w:rPr>
                <w:color w:val="E8EDF2"/>
                <w:sz w:val="18"/>
                <w:szCs w:val="18"/>
              </w:rPr>
              <w:t>Yoga &amp; Achtsamkeit</w:t>
            </w:r>
          </w:p>
          <w:p w14:paraId="01F7217F" w14:textId="77777777" w:rsidR="00503204" w:rsidRDefault="00503204">
            <w:pPr>
              <w:spacing w:line="160" w:lineRule="auto"/>
            </w:pPr>
          </w:p>
          <w:p w14:paraId="00CCBB8A" w14:textId="77777777" w:rsidR="00503204" w:rsidRDefault="00000000">
            <w:pPr>
              <w:pBdr>
                <w:bottom w:val="single" w:sz="12" w:space="6" w:color="E07A3C"/>
              </w:pBdr>
              <w:spacing w:before="200" w:after="200"/>
            </w:pPr>
            <w:r>
              <w:rPr>
                <w:b/>
                <w:bCs/>
                <w:caps/>
                <w:color w:val="FFFFFF"/>
                <w:spacing w:val="40"/>
                <w:sz w:val="24"/>
                <w:szCs w:val="24"/>
              </w:rPr>
              <w:t>Verfügbar ab</w:t>
            </w:r>
          </w:p>
          <w:p w14:paraId="49434BAA" w14:textId="77777777" w:rsidR="00503204" w:rsidRDefault="00000000">
            <w:pPr>
              <w:spacing w:after="80"/>
            </w:pPr>
            <w:r>
              <w:rPr>
                <w:b/>
                <w:bCs/>
                <w:color w:val="E07A3C"/>
                <w:sz w:val="24"/>
                <w:szCs w:val="24"/>
              </w:rPr>
              <w:t>01.10.2025</w:t>
            </w:r>
          </w:p>
          <w:p w14:paraId="35BAA1E1" w14:textId="77777777" w:rsidR="00503204" w:rsidRDefault="00000000">
            <w:pPr>
              <w:spacing w:after="40" w:line="264" w:lineRule="auto"/>
            </w:pPr>
            <w:r>
              <w:rPr>
                <w:color w:val="9FB3C8"/>
                <w:sz w:val="18"/>
                <w:szCs w:val="18"/>
              </w:rPr>
              <w:t>Vollzeit · Hybrid</w:t>
            </w:r>
          </w:p>
          <w:p w14:paraId="53E0F567" w14:textId="77777777" w:rsidR="00503204" w:rsidRDefault="00000000">
            <w:pPr>
              <w:spacing w:after="80" w:line="264" w:lineRule="auto"/>
            </w:pPr>
            <w:r>
              <w:rPr>
                <w:color w:val="9FB3C8"/>
                <w:sz w:val="18"/>
                <w:szCs w:val="18"/>
              </w:rPr>
              <w:t>Reisebereitschaft DACH</w:t>
            </w:r>
          </w:p>
        </w:tc>
        <w:tc>
          <w:tcPr>
            <w:tcW w:w="89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40" w:type="dxa"/>
              <w:left w:w="480" w:type="dxa"/>
              <w:bottom w:w="240" w:type="dxa"/>
              <w:right w:w="480" w:type="dxa"/>
            </w:tcMar>
          </w:tcPr>
          <w:p w14:paraId="783340E3" w14:textId="77777777" w:rsidR="00503204" w:rsidRDefault="00503204">
            <w:pPr>
              <w:spacing w:before="120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503204" w14:paraId="7156F5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614D47D0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6CC8E06F" w14:textId="77777777" w:rsidR="00503204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Profil</w:t>
                  </w:r>
                </w:p>
              </w:tc>
            </w:tr>
          </w:tbl>
          <w:p w14:paraId="3011BD59" w14:textId="77777777" w:rsidR="00503204" w:rsidRDefault="00000000">
            <w:pPr>
              <w:spacing w:before="120" w:after="160" w:line="276" w:lineRule="auto"/>
            </w:pPr>
            <w:r>
              <w:rPr>
                <w:color w:val="2C3E50"/>
                <w:sz w:val="18"/>
                <w:szCs w:val="18"/>
              </w:rPr>
              <w:t>Strategisch denkende HR-Managerin mit über 10 Jahren Erfahrung in der Personalentwicklung, dem Recruiting und der Organisationsentwicklung in mittelständischen und internationalen Unternehmen. Expertise in Change-Management, Employer Branding sowie der Einführung digitaler HR-Tools. Ich verbinde wirtschaftliches Denken mit Empathie und führe HR-Strategien, die Mitarbeiterbindung und Unternehmenserfolg gleichermaßen stärken.</w:t>
            </w: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503204" w14:paraId="4D14E0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3399D114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2EF6CCA0" w14:textId="77777777" w:rsidR="00503204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Berufserfahrung</w:t>
                  </w:r>
                </w:p>
              </w:tc>
            </w:tr>
          </w:tbl>
          <w:p w14:paraId="34EB0390" w14:textId="77777777" w:rsidR="00503204" w:rsidRDefault="00503204">
            <w:pPr>
              <w:spacing w:line="120" w:lineRule="auto"/>
            </w:pPr>
          </w:p>
          <w:tbl>
            <w:tblPr>
              <w:tblW w:w="8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6100"/>
            </w:tblGrid>
            <w:tr w:rsidR="00503204" w14:paraId="6AF14368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36F473C5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04/2021 – heute</w:t>
                  </w:r>
                </w:p>
                <w:p w14:paraId="5B0A18D8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Nordmann Industries SE</w:t>
                  </w:r>
                </w:p>
                <w:p w14:paraId="2D67ECDD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Berlin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69E53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3E2486EE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Head of Human Resources (DACH)</w:t>
                  </w:r>
                </w:p>
                <w:p w14:paraId="1A593BD2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Strategische und operative Leitung der HR-Abteilung für 850 Mitarbeitende an 4 Standorten</w:t>
                  </w:r>
                </w:p>
                <w:p w14:paraId="6C589538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Führung eines Teams von 9 HR-Business-Partnern und Spezialist:innen</w:t>
                  </w:r>
                </w:p>
                <w:p w14:paraId="1D616C73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Einführung von Personio als neues HRIS – Effizienzgewinn von 35 % in der Personaladministration</w:t>
                  </w:r>
                </w:p>
                <w:p w14:paraId="784E326C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Verantwortung für ein jährliches Personalbudget von 4,2 Mio. €</w:t>
                  </w:r>
                </w:p>
              </w:tc>
            </w:tr>
          </w:tbl>
          <w:p w14:paraId="44B3D575" w14:textId="77777777" w:rsidR="00503204" w:rsidRDefault="00503204">
            <w:pPr>
              <w:spacing w:line="120" w:lineRule="auto"/>
            </w:pPr>
          </w:p>
          <w:tbl>
            <w:tblPr>
              <w:tblW w:w="8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6100"/>
            </w:tblGrid>
            <w:tr w:rsidR="00503204" w14:paraId="77EA2327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4210B9E7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08/2017 – 03/2021</w:t>
                  </w:r>
                </w:p>
                <w:p w14:paraId="16B8A8F0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Reichmann &amp; Söhne AG</w:t>
                  </w:r>
                </w:p>
                <w:p w14:paraId="4535C6BE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München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652C5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6272310C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HR Business Partner</w:t>
                  </w:r>
                </w:p>
                <w:p w14:paraId="51D07F43" w14:textId="01F7C0F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Beratung von 6 Führungskräften zu Personal- und Entwicklungsthemen</w:t>
                  </w:r>
                </w:p>
                <w:p w14:paraId="43E13F50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Aufbau eines strukturierten Talent-Management-Programms inkl. Nachfolgeplanung</w:t>
                  </w:r>
                </w:p>
                <w:p w14:paraId="3CE352BE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Implementierung eines 360°-Feedback-Systems für die Führungskräfteentwicklung</w:t>
                  </w:r>
                </w:p>
              </w:tc>
            </w:tr>
          </w:tbl>
          <w:p w14:paraId="6C539117" w14:textId="77777777" w:rsidR="00503204" w:rsidRDefault="00503204">
            <w:pPr>
              <w:spacing w:line="120" w:lineRule="auto"/>
            </w:pPr>
          </w:p>
          <w:tbl>
            <w:tblPr>
              <w:tblW w:w="8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6100"/>
            </w:tblGrid>
            <w:tr w:rsidR="00503204" w14:paraId="67A69778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5CF21E5C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09/2014 – 07/2017</w:t>
                  </w:r>
                </w:p>
                <w:p w14:paraId="4F8384C4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Bayrische Tech GmbH</w:t>
                  </w:r>
                </w:p>
                <w:p w14:paraId="038928C6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München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DF80A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6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75175BF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Recruiting Specialist</w:t>
                  </w:r>
                </w:p>
                <w:p w14:paraId="7B1ED941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Full-Cycle-Recruiting für IT-, Engineering- und Vertriebspositionen</w:t>
                  </w:r>
                </w:p>
                <w:p w14:paraId="69818DA5" w14:textId="506DE1EF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Aufbau eines Active-Sourcing-Teams (LinkedIn Recruiter, XING)</w:t>
                  </w:r>
                </w:p>
                <w:p w14:paraId="2A23D6AC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Konzeption und Durchführung von Assessment-Centern</w:t>
                  </w:r>
                </w:p>
                <w:p w14:paraId="3BEF5542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Repräsentation des Unternehmens auf Karrieremessen und Hochschulveranstaltungen</w:t>
                  </w:r>
                </w:p>
              </w:tc>
            </w:tr>
          </w:tbl>
          <w:p w14:paraId="7D0DD645" w14:textId="77777777" w:rsidR="00503204" w:rsidRDefault="00503204">
            <w:pPr>
              <w:spacing w:line="120" w:lineRule="auto"/>
            </w:pPr>
          </w:p>
          <w:tbl>
            <w:tblPr>
              <w:tblW w:w="842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6242"/>
            </w:tblGrid>
            <w:tr w:rsidR="00503204" w14:paraId="1606F1B2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16E202B0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10/2012 – 08/2014</w:t>
                  </w:r>
                </w:p>
                <w:p w14:paraId="778DE9E2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Süddeutsche Versicherung AG</w:t>
                  </w:r>
                </w:p>
                <w:p w14:paraId="1A527C0A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München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6D45B3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62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017DB77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HR-Trainee &amp; Junior Personalreferentin</w:t>
                  </w:r>
                </w:p>
                <w:p w14:paraId="4E4B2C3C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Rotation durch die HR-Bereiche: Recruiting, Personalentwicklung, Payroll</w:t>
                  </w:r>
                </w:p>
                <w:p w14:paraId="34ECE8FE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Mitarbeit bei der Einführung eines konzernweiten Onboarding-Konzepts</w:t>
                  </w:r>
                </w:p>
                <w:p w14:paraId="7FB32106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Unterstützung bei der Erstellung von Arbeitsverträgen und Zeugnissen</w:t>
                  </w:r>
                </w:p>
              </w:tc>
            </w:tr>
          </w:tbl>
          <w:p w14:paraId="2372FFB9" w14:textId="77777777" w:rsidR="00503204" w:rsidRDefault="00503204">
            <w:pPr>
              <w:spacing w:line="14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503204" w14:paraId="2749AF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0DC92FAE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7A36E705" w14:textId="77777777" w:rsidR="00503204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Akademische Ausbildung</w:t>
                  </w:r>
                </w:p>
              </w:tc>
            </w:tr>
          </w:tbl>
          <w:p w14:paraId="50E20899" w14:textId="77777777" w:rsidR="00503204" w:rsidRDefault="00503204">
            <w:pPr>
              <w:spacing w:line="120" w:lineRule="auto"/>
            </w:pPr>
          </w:p>
          <w:tbl>
            <w:tblPr>
              <w:tblW w:w="813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959"/>
            </w:tblGrid>
            <w:tr w:rsidR="00503204" w14:paraId="5C646FC3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0A70C022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10/2010 – 09/2012</w:t>
                  </w:r>
                </w:p>
                <w:p w14:paraId="22879712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Ludwig-Maximilians-Universität</w:t>
                  </w:r>
                </w:p>
                <w:p w14:paraId="46BB424A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München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EAE5EE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59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06839529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M.A. Human Resource Management</w:t>
                  </w:r>
                </w:p>
                <w:p w14:paraId="00FDF421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Abschlussnote: 1,4 (sehr gut)</w:t>
                  </w:r>
                </w:p>
                <w:p w14:paraId="298B4C3D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Masterarbeit: „Digitale Transformation der HR-Funktion im deutschen Mittelstand“</w:t>
                  </w:r>
                </w:p>
                <w:p w14:paraId="5FF8871E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Auslandssemester an der HEC Paris (06/2011 – 12/2011)</w:t>
                  </w:r>
                </w:p>
              </w:tc>
            </w:tr>
          </w:tbl>
          <w:p w14:paraId="1420768A" w14:textId="77777777" w:rsidR="00503204" w:rsidRDefault="00503204">
            <w:pPr>
              <w:spacing w:line="12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4300"/>
            </w:tblGrid>
            <w:tr w:rsidR="00503204" w14:paraId="41597F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3C7058C9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10/2007 – 09/2010</w:t>
                  </w:r>
                </w:p>
                <w:p w14:paraId="3D0AE9E4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2C3E50"/>
                      <w:sz w:val="18"/>
                      <w:szCs w:val="18"/>
                    </w:rPr>
                    <w:t>Universität Mannheim</w:t>
                  </w:r>
                </w:p>
                <w:p w14:paraId="66BBA59E" w14:textId="77777777" w:rsidR="00503204" w:rsidRDefault="00000000">
                  <w:r>
                    <w:rPr>
                      <w:i/>
                      <w:iCs/>
                      <w:color w:val="5A6C7D"/>
                      <w:sz w:val="16"/>
                      <w:szCs w:val="16"/>
                    </w:rPr>
                    <w:t>Mannheim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D9DC7" w14:textId="77777777" w:rsidR="00503204" w:rsidRDefault="00000000">
                  <w:pPr>
                    <w:spacing w:before="40"/>
                    <w:jc w:val="center"/>
                  </w:pPr>
                  <w:r>
                    <w:rPr>
                      <w:b/>
                      <w:bCs/>
                      <w:color w:val="E07A3C"/>
                      <w:sz w:val="28"/>
                      <w:szCs w:val="28"/>
                    </w:rPr>
                    <w:t>●</w:t>
                  </w:r>
                </w:p>
              </w:tc>
              <w:tc>
                <w:tcPr>
                  <w:tcW w:w="4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362AAD0A" w14:textId="77777777" w:rsidR="00503204" w:rsidRDefault="00000000">
                  <w:pPr>
                    <w:spacing w:after="80"/>
                  </w:pPr>
                  <w:r>
                    <w:rPr>
                      <w:b/>
                      <w:bCs/>
                      <w:color w:val="2C3E50"/>
                      <w:sz w:val="21"/>
                      <w:szCs w:val="21"/>
                    </w:rPr>
                    <w:t>B.Sc. Betriebswirtschaftslehre</w:t>
                  </w:r>
                </w:p>
                <w:p w14:paraId="1E3D38FE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Abschlussnote: 1,8 (gut)</w:t>
                  </w:r>
                </w:p>
                <w:p w14:paraId="2DC03261" w14:textId="77777777" w:rsidR="00503204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after="20" w:line="252" w:lineRule="auto"/>
                  </w:pPr>
                  <w:r>
                    <w:rPr>
                      <w:color w:val="2C3E50"/>
                      <w:sz w:val="18"/>
                      <w:szCs w:val="18"/>
                    </w:rPr>
                    <w:t>Vertiefung: Personal &amp; Organisation, Wirtschaftspsychologie</w:t>
                  </w:r>
                </w:p>
              </w:tc>
            </w:tr>
          </w:tbl>
          <w:p w14:paraId="2178019B" w14:textId="77777777" w:rsidR="00503204" w:rsidRDefault="00503204">
            <w:pPr>
              <w:spacing w:line="14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503204" w14:paraId="51B993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13E26397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6F1347E2" w14:textId="77777777" w:rsidR="00503204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Weiterbildung</w:t>
                  </w:r>
                </w:p>
              </w:tc>
            </w:tr>
          </w:tbl>
          <w:p w14:paraId="575C6CA4" w14:textId="77777777" w:rsidR="00503204" w:rsidRDefault="00503204">
            <w:pPr>
              <w:spacing w:line="120" w:lineRule="auto"/>
            </w:pPr>
          </w:p>
          <w:tbl>
            <w:tblPr>
              <w:tblW w:w="7997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80"/>
              <w:gridCol w:w="5817"/>
            </w:tblGrid>
            <w:tr w:rsidR="00503204" w14:paraId="7358EC70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0FC0B2F0" w14:textId="77777777" w:rsidR="00503204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D4F1E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58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23F11900" w14:textId="77777777" w:rsidR="00503204" w:rsidRDefault="00000000"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SHRM Senior Certified Professional (SHRM-SCP)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Society for HRM</w:t>
                  </w:r>
                </w:p>
              </w:tc>
            </w:tr>
            <w:tr w:rsidR="00503204" w14:paraId="0AD9B534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357383EB" w14:textId="77777777" w:rsidR="00503204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89255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58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1732970E" w14:textId="77777777" w:rsidR="00503204" w:rsidRDefault="00000000"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Agile HR Practitioner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AgileHR Institute</w:t>
                  </w:r>
                </w:p>
              </w:tc>
            </w:tr>
            <w:tr w:rsidR="00503204" w14:paraId="7ECA286A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D093972" w14:textId="77777777" w:rsidR="00503204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DB509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58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4B470651" w14:textId="77777777" w:rsidR="00503204" w:rsidRDefault="00000000"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Geprüfte Personalfachkauffrau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IHK Berlin</w:t>
                  </w:r>
                </w:p>
              </w:tc>
            </w:tr>
            <w:tr w:rsidR="00503204" w14:paraId="696A0530" w14:textId="77777777" w:rsidTr="006F5A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C7D664A" w14:textId="77777777" w:rsidR="00503204" w:rsidRDefault="00000000">
                  <w:r>
                    <w:rPr>
                      <w:b/>
                      <w:bCs/>
                      <w:color w:val="B85A1F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A016B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E07A3C"/>
                    </w:rPr>
                    <w:t>▸</w:t>
                  </w:r>
                </w:p>
              </w:tc>
              <w:tc>
                <w:tcPr>
                  <w:tcW w:w="581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40" w:type="dxa"/>
                    <w:right w:w="0" w:type="dxa"/>
                  </w:tcMar>
                </w:tcPr>
                <w:p w14:paraId="1DA54C3A" w14:textId="77777777" w:rsidR="00503204" w:rsidRDefault="00000000"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DSGVO-Beauftragte im Personalwesen</w:t>
                  </w:r>
                  <w:r>
                    <w:rPr>
                      <w:color w:val="95A5A6"/>
                      <w:sz w:val="18"/>
                      <w:szCs w:val="18"/>
                    </w:rPr>
                    <w:t xml:space="preserve">  ·  </w:t>
                  </w:r>
                  <w:r>
                    <w:rPr>
                      <w:i/>
                      <w:iCs/>
                      <w:color w:val="5A6C7D"/>
                      <w:sz w:val="18"/>
                      <w:szCs w:val="18"/>
                    </w:rPr>
                    <w:t>TÜV Süd Akademie</w:t>
                  </w:r>
                </w:p>
              </w:tc>
            </w:tr>
          </w:tbl>
          <w:p w14:paraId="23560484" w14:textId="77777777" w:rsidR="00503204" w:rsidRDefault="00503204">
            <w:pPr>
              <w:spacing w:line="16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880"/>
            </w:tblGrid>
            <w:tr w:rsidR="00503204" w14:paraId="688B3D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07A3C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14:paraId="35F7FC05" w14:textId="77777777" w:rsidR="00503204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8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40" w:type="dxa"/>
                    <w:bottom w:w="60" w:type="dxa"/>
                    <w:right w:w="0" w:type="dxa"/>
                  </w:tcMar>
                  <w:vAlign w:val="center"/>
                </w:tcPr>
                <w:p w14:paraId="058C0AE9" w14:textId="77777777" w:rsidR="00503204" w:rsidRDefault="00000000">
                  <w:r>
                    <w:rPr>
                      <w:b/>
                      <w:bCs/>
                      <w:caps/>
                      <w:color w:val="2C3E50"/>
                      <w:spacing w:val="30"/>
                      <w:sz w:val="26"/>
                      <w:szCs w:val="26"/>
                    </w:rPr>
                    <w:t>Kernkompetenzen</w:t>
                  </w:r>
                </w:p>
              </w:tc>
            </w:tr>
          </w:tbl>
          <w:p w14:paraId="40D17AD0" w14:textId="77777777" w:rsidR="00503204" w:rsidRDefault="00503204">
            <w:pPr>
              <w:spacing w:line="120" w:lineRule="auto"/>
            </w:pPr>
          </w:p>
          <w:tbl>
            <w:tblPr>
              <w:tblW w:w="64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3240"/>
            </w:tblGrid>
            <w:tr w:rsidR="00503204" w14:paraId="1D31F6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3F615F7E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Strategische Personalplanung</w:t>
                  </w:r>
                </w:p>
                <w:p w14:paraId="15994E20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Workforce Planning &amp; HR-Roadmaps.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3556E3F0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Change Management</w:t>
                  </w:r>
                </w:p>
                <w:p w14:paraId="61733E82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Begleitung von Transformationen.</w:t>
                  </w:r>
                </w:p>
              </w:tc>
            </w:tr>
            <w:tr w:rsidR="00503204" w14:paraId="4AF26D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20CFBD42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lastRenderedPageBreak/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Recruiting &amp; Active Sourcing</w:t>
                  </w:r>
                </w:p>
                <w:p w14:paraId="5C9C51FC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Strategisches &amp; operatives Hiring.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7402158C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Talent Development</w:t>
                  </w:r>
                </w:p>
                <w:p w14:paraId="0F01965F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Karriere- und Nachfolgeplanung.</w:t>
                  </w:r>
                </w:p>
              </w:tc>
            </w:tr>
            <w:tr w:rsidR="00503204" w14:paraId="04557C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515B559E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Arbeitsrecht &amp; Compliance</w:t>
                  </w:r>
                </w:p>
                <w:p w14:paraId="37F06265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Sicheres Handeln im Arbeitsrecht.</w:t>
                  </w:r>
                </w:p>
              </w:tc>
              <w:tc>
                <w:tcPr>
                  <w:tcW w:w="32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200" w:type="dxa"/>
                  </w:tcMar>
                </w:tcPr>
                <w:p w14:paraId="1BFB87EC" w14:textId="77777777" w:rsidR="00503204" w:rsidRDefault="00000000">
                  <w:pPr>
                    <w:spacing w:after="20"/>
                  </w:pPr>
                  <w:r>
                    <w:rPr>
                      <w:b/>
                      <w:bCs/>
                      <w:color w:val="E07A3C"/>
                    </w:rPr>
                    <w:t xml:space="preserve">✓  </w:t>
                  </w:r>
                  <w:r>
                    <w:rPr>
                      <w:b/>
                      <w:bCs/>
                      <w:color w:val="2C3E50"/>
                      <w:sz w:val="19"/>
                      <w:szCs w:val="19"/>
                    </w:rPr>
                    <w:t>Employer Branding</w:t>
                  </w:r>
                </w:p>
                <w:p w14:paraId="1B9A2A4D" w14:textId="77777777" w:rsidR="00503204" w:rsidRDefault="00000000">
                  <w:pPr>
                    <w:spacing w:line="252" w:lineRule="auto"/>
                    <w:ind w:left="360"/>
                  </w:pPr>
                  <w:r>
                    <w:rPr>
                      <w:color w:val="5A6C7D"/>
                      <w:sz w:val="16"/>
                      <w:szCs w:val="16"/>
                    </w:rPr>
                    <w:t>Aufbau attraktiver Arbeitgebermarken.</w:t>
                  </w:r>
                </w:p>
              </w:tc>
            </w:tr>
          </w:tbl>
          <w:p w14:paraId="5EA854B7" w14:textId="77777777" w:rsidR="00503204" w:rsidRDefault="00503204">
            <w:pPr>
              <w:spacing w:line="140" w:lineRule="auto"/>
            </w:pPr>
          </w:p>
          <w:p w14:paraId="7AC6DEC6" w14:textId="77777777" w:rsidR="00503204" w:rsidRDefault="00000000">
            <w:pPr>
              <w:spacing w:before="240"/>
            </w:pPr>
            <w:r>
              <w:rPr>
                <w:color w:val="5A6C7D"/>
                <w:sz w:val="18"/>
                <w:szCs w:val="18"/>
              </w:rPr>
              <w:t>Berlin, den _______________</w:t>
            </w:r>
          </w:p>
          <w:p w14:paraId="3A5D3A28" w14:textId="77777777" w:rsidR="00503204" w:rsidRDefault="00503204">
            <w:pPr>
              <w:pBdr>
                <w:bottom w:val="single" w:sz="6" w:space="4" w:color="95A5A6"/>
              </w:pBdr>
              <w:spacing w:before="280"/>
            </w:pPr>
          </w:p>
          <w:p w14:paraId="258CDD7C" w14:textId="77777777" w:rsidR="00503204" w:rsidRDefault="00000000">
            <w:pPr>
              <w:spacing w:before="60"/>
            </w:pPr>
            <w:r>
              <w:rPr>
                <w:i/>
                <w:iCs/>
                <w:color w:val="5A6C7D"/>
                <w:sz w:val="16"/>
                <w:szCs w:val="16"/>
              </w:rPr>
              <w:t>Katharina Hoffmann</w:t>
            </w:r>
          </w:p>
        </w:tc>
      </w:tr>
    </w:tbl>
    <w:p w14:paraId="7B128F44" w14:textId="77777777" w:rsidR="009A2FC5" w:rsidRDefault="009A2FC5"/>
    <w:sectPr w:rsidR="009A2FC5">
      <w:pgSz w:w="11906" w:h="16838"/>
      <w:pgMar w:top="0" w:right="360" w:bottom="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6322"/>
    <w:multiLevelType w:val="hybridMultilevel"/>
    <w:tmpl w:val="9FAE84DA"/>
    <w:lvl w:ilvl="0" w:tplc="28B2992C">
      <w:start w:val="1"/>
      <w:numFmt w:val="bullet"/>
      <w:lvlText w:val="▸"/>
      <w:lvlJc w:val="left"/>
      <w:pPr>
        <w:ind w:left="280" w:hanging="220"/>
      </w:pPr>
      <w:rPr>
        <w:color w:val="E07A3C"/>
      </w:rPr>
    </w:lvl>
    <w:lvl w:ilvl="1" w:tplc="D1D804AE">
      <w:numFmt w:val="decimal"/>
      <w:lvlText w:val=""/>
      <w:lvlJc w:val="left"/>
    </w:lvl>
    <w:lvl w:ilvl="2" w:tplc="FEBC075A">
      <w:numFmt w:val="decimal"/>
      <w:lvlText w:val=""/>
      <w:lvlJc w:val="left"/>
    </w:lvl>
    <w:lvl w:ilvl="3" w:tplc="59F45AD2">
      <w:numFmt w:val="decimal"/>
      <w:lvlText w:val=""/>
      <w:lvlJc w:val="left"/>
    </w:lvl>
    <w:lvl w:ilvl="4" w:tplc="836E7072">
      <w:numFmt w:val="decimal"/>
      <w:lvlText w:val=""/>
      <w:lvlJc w:val="left"/>
    </w:lvl>
    <w:lvl w:ilvl="5" w:tplc="52CE2E18">
      <w:numFmt w:val="decimal"/>
      <w:lvlText w:val=""/>
      <w:lvlJc w:val="left"/>
    </w:lvl>
    <w:lvl w:ilvl="6" w:tplc="ADFAC18E">
      <w:numFmt w:val="decimal"/>
      <w:lvlText w:val=""/>
      <w:lvlJc w:val="left"/>
    </w:lvl>
    <w:lvl w:ilvl="7" w:tplc="1F4048A0">
      <w:numFmt w:val="decimal"/>
      <w:lvlText w:val=""/>
      <w:lvlJc w:val="left"/>
    </w:lvl>
    <w:lvl w:ilvl="8" w:tplc="778E00B6">
      <w:numFmt w:val="decimal"/>
      <w:lvlText w:val=""/>
      <w:lvlJc w:val="left"/>
    </w:lvl>
  </w:abstractNum>
  <w:abstractNum w:abstractNumId="1" w15:restartNumberingAfterBreak="0">
    <w:nsid w:val="2E98470E"/>
    <w:multiLevelType w:val="hybridMultilevel"/>
    <w:tmpl w:val="3E18AF70"/>
    <w:lvl w:ilvl="0" w:tplc="CEAAF312">
      <w:start w:val="1"/>
      <w:numFmt w:val="bullet"/>
      <w:lvlText w:val="▸"/>
      <w:lvlJc w:val="left"/>
      <w:pPr>
        <w:ind w:left="280" w:hanging="220"/>
      </w:pPr>
      <w:rPr>
        <w:color w:val="E07A3C"/>
      </w:rPr>
    </w:lvl>
    <w:lvl w:ilvl="1" w:tplc="BBAEAD3A">
      <w:numFmt w:val="decimal"/>
      <w:lvlText w:val=""/>
      <w:lvlJc w:val="left"/>
    </w:lvl>
    <w:lvl w:ilvl="2" w:tplc="049628BA">
      <w:numFmt w:val="decimal"/>
      <w:lvlText w:val=""/>
      <w:lvlJc w:val="left"/>
    </w:lvl>
    <w:lvl w:ilvl="3" w:tplc="F258E254">
      <w:numFmt w:val="decimal"/>
      <w:lvlText w:val=""/>
      <w:lvlJc w:val="left"/>
    </w:lvl>
    <w:lvl w:ilvl="4" w:tplc="2F867032">
      <w:numFmt w:val="decimal"/>
      <w:lvlText w:val=""/>
      <w:lvlJc w:val="left"/>
    </w:lvl>
    <w:lvl w:ilvl="5" w:tplc="9AC6314A">
      <w:numFmt w:val="decimal"/>
      <w:lvlText w:val=""/>
      <w:lvlJc w:val="left"/>
    </w:lvl>
    <w:lvl w:ilvl="6" w:tplc="5CC68038">
      <w:numFmt w:val="decimal"/>
      <w:lvlText w:val=""/>
      <w:lvlJc w:val="left"/>
    </w:lvl>
    <w:lvl w:ilvl="7" w:tplc="80140496">
      <w:numFmt w:val="decimal"/>
      <w:lvlText w:val=""/>
      <w:lvlJc w:val="left"/>
    </w:lvl>
    <w:lvl w:ilvl="8" w:tplc="49A0D6C4">
      <w:numFmt w:val="decimal"/>
      <w:lvlText w:val=""/>
      <w:lvlJc w:val="left"/>
    </w:lvl>
  </w:abstractNum>
  <w:abstractNum w:abstractNumId="2" w15:restartNumberingAfterBreak="0">
    <w:nsid w:val="50BD1D08"/>
    <w:multiLevelType w:val="hybridMultilevel"/>
    <w:tmpl w:val="35043FA6"/>
    <w:lvl w:ilvl="0" w:tplc="125E0FE8">
      <w:start w:val="1"/>
      <w:numFmt w:val="bullet"/>
      <w:lvlText w:val="●"/>
      <w:lvlJc w:val="left"/>
      <w:pPr>
        <w:ind w:left="720" w:hanging="360"/>
      </w:pPr>
    </w:lvl>
    <w:lvl w:ilvl="1" w:tplc="8AFA1042">
      <w:start w:val="1"/>
      <w:numFmt w:val="bullet"/>
      <w:lvlText w:val="○"/>
      <w:lvlJc w:val="left"/>
      <w:pPr>
        <w:ind w:left="1440" w:hanging="360"/>
      </w:pPr>
    </w:lvl>
    <w:lvl w:ilvl="2" w:tplc="0C6E4E98">
      <w:start w:val="1"/>
      <w:numFmt w:val="bullet"/>
      <w:lvlText w:val="■"/>
      <w:lvlJc w:val="left"/>
      <w:pPr>
        <w:ind w:left="2160" w:hanging="360"/>
      </w:pPr>
    </w:lvl>
    <w:lvl w:ilvl="3" w:tplc="A68846E8">
      <w:start w:val="1"/>
      <w:numFmt w:val="bullet"/>
      <w:lvlText w:val="●"/>
      <w:lvlJc w:val="left"/>
      <w:pPr>
        <w:ind w:left="2880" w:hanging="360"/>
      </w:pPr>
    </w:lvl>
    <w:lvl w:ilvl="4" w:tplc="9FAADD26">
      <w:start w:val="1"/>
      <w:numFmt w:val="bullet"/>
      <w:lvlText w:val="○"/>
      <w:lvlJc w:val="left"/>
      <w:pPr>
        <w:ind w:left="3600" w:hanging="360"/>
      </w:pPr>
    </w:lvl>
    <w:lvl w:ilvl="5" w:tplc="B39E4ADC">
      <w:start w:val="1"/>
      <w:numFmt w:val="bullet"/>
      <w:lvlText w:val="■"/>
      <w:lvlJc w:val="left"/>
      <w:pPr>
        <w:ind w:left="4320" w:hanging="360"/>
      </w:pPr>
    </w:lvl>
    <w:lvl w:ilvl="6" w:tplc="6B82C08C">
      <w:start w:val="1"/>
      <w:numFmt w:val="bullet"/>
      <w:lvlText w:val="●"/>
      <w:lvlJc w:val="left"/>
      <w:pPr>
        <w:ind w:left="5040" w:hanging="360"/>
      </w:pPr>
    </w:lvl>
    <w:lvl w:ilvl="7" w:tplc="50B23536">
      <w:start w:val="1"/>
      <w:numFmt w:val="bullet"/>
      <w:lvlText w:val="●"/>
      <w:lvlJc w:val="left"/>
      <w:pPr>
        <w:ind w:left="5760" w:hanging="360"/>
      </w:pPr>
    </w:lvl>
    <w:lvl w:ilvl="8" w:tplc="C05038BE">
      <w:start w:val="1"/>
      <w:numFmt w:val="bullet"/>
      <w:lvlText w:val="●"/>
      <w:lvlJc w:val="left"/>
      <w:pPr>
        <w:ind w:left="6480" w:hanging="360"/>
      </w:pPr>
    </w:lvl>
  </w:abstractNum>
  <w:num w:numId="1" w16cid:durableId="1533108440">
    <w:abstractNumId w:val="2"/>
    <w:lvlOverride w:ilvl="0">
      <w:startOverride w:val="1"/>
    </w:lvlOverride>
  </w:num>
  <w:num w:numId="2" w16cid:durableId="1201741682">
    <w:abstractNumId w:val="1"/>
    <w:lvlOverride w:ilvl="0">
      <w:startOverride w:val="1"/>
    </w:lvlOverride>
  </w:num>
  <w:num w:numId="3" w16cid:durableId="17843792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04"/>
    <w:rsid w:val="00503204"/>
    <w:rsid w:val="006F5AB8"/>
    <w:rsid w:val="007D1D49"/>
    <w:rsid w:val="009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00F5"/>
  <w15:docId w15:val="{347313F7-C4B6-4A5A-8505-FFE20DCB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HR Manager Vorlage</dc:title>
  <dc:creator>CV Template</dc:creator>
  <cp:lastModifiedBy>Sergio Jiménez Canales</cp:lastModifiedBy>
  <cp:revision>3</cp:revision>
  <dcterms:created xsi:type="dcterms:W3CDTF">2026-05-21T08:22:00Z</dcterms:created>
  <dcterms:modified xsi:type="dcterms:W3CDTF">2026-05-21T08:42:00Z</dcterms:modified>
</cp:coreProperties>
</file>