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624"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539"/>
        <w:gridCol w:w="8085"/>
      </w:tblGrid>
      <w:tr w:rsidR="00C76D74" w14:paraId="64EDEA01" w14:textId="77777777" w:rsidTr="00585A08">
        <w:tblPrEx>
          <w:tblCellMar>
            <w:top w:w="0" w:type="dxa"/>
            <w:bottom w:w="0" w:type="dxa"/>
          </w:tblCellMar>
        </w:tblPrEx>
        <w:tc>
          <w:tcPr>
            <w:tcW w:w="3539" w:type="dxa"/>
            <w:shd w:val="clear" w:color="auto" w:fill="1B2D4F"/>
            <w:tcMar>
              <w:top w:w="0" w:type="dxa"/>
              <w:left w:w="200" w:type="dxa"/>
              <w:bottom w:w="0" w:type="dxa"/>
              <w:right w:w="200" w:type="dxa"/>
            </w:tcMar>
          </w:tcPr>
          <w:p w14:paraId="1F406E52" w14:textId="77777777" w:rsidR="00C76D74" w:rsidRDefault="00000000">
            <w:pPr>
              <w:spacing w:before="400" w:after="40"/>
              <w:jc w:val="center"/>
            </w:pPr>
            <w:r>
              <w:rPr>
                <w:b/>
                <w:bCs/>
                <w:color w:val="FFFFFF"/>
                <w:sz w:val="52"/>
                <w:szCs w:val="52"/>
              </w:rPr>
              <w:t>THOMAS</w:t>
            </w:r>
          </w:p>
          <w:p w14:paraId="05D50BB2" w14:textId="77777777" w:rsidR="00C76D74" w:rsidRPr="00585A08" w:rsidRDefault="00000000">
            <w:pPr>
              <w:spacing w:after="20"/>
              <w:jc w:val="center"/>
              <w:rPr>
                <w:sz w:val="44"/>
                <w:szCs w:val="44"/>
              </w:rPr>
            </w:pPr>
            <w:r w:rsidRPr="00585A08">
              <w:rPr>
                <w:b/>
                <w:bCs/>
                <w:color w:val="C9A84C"/>
                <w:sz w:val="44"/>
                <w:szCs w:val="44"/>
              </w:rPr>
              <w:t>KELLERMANN</w:t>
            </w:r>
          </w:p>
          <w:p w14:paraId="592E5F37" w14:textId="77777777" w:rsidR="00C76D74" w:rsidRDefault="00000000">
            <w:pPr>
              <w:spacing w:before="10" w:after="200"/>
              <w:jc w:val="center"/>
              <w:rPr>
                <w:i/>
                <w:iCs/>
                <w:color w:val="FFFFFF"/>
              </w:rPr>
            </w:pPr>
            <w:r>
              <w:rPr>
                <w:i/>
                <w:iCs/>
                <w:color w:val="FFFFFF"/>
              </w:rPr>
              <w:t>GESCHÄFTSFÜHRER | CEO</w:t>
            </w:r>
          </w:p>
          <w:p w14:paraId="14243734" w14:textId="5108D18F" w:rsidR="00585A08" w:rsidRDefault="00585A08">
            <w:pPr>
              <w:spacing w:before="10" w:after="200"/>
              <w:jc w:val="center"/>
            </w:pPr>
            <w:r>
              <w:rPr>
                <w:noProof/>
              </w:rPr>
              <w:drawing>
                <wp:inline distT="0" distB="0" distL="0" distR="0" wp14:anchorId="318DA6D9" wp14:editId="574D7185">
                  <wp:extent cx="1990725" cy="2409825"/>
                  <wp:effectExtent l="0" t="0" r="9525" b="9525"/>
                  <wp:docPr id="81467642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90725" cy="2409825"/>
                          </a:xfrm>
                          <a:prstGeom prst="rect">
                            <a:avLst/>
                          </a:prstGeom>
                          <a:noFill/>
                          <a:ln>
                            <a:noFill/>
                          </a:ln>
                        </pic:spPr>
                      </pic:pic>
                    </a:graphicData>
                  </a:graphic>
                </wp:inline>
              </w:drawing>
            </w:r>
          </w:p>
          <w:p w14:paraId="6307999E" w14:textId="77777777" w:rsidR="00C76D74" w:rsidRDefault="00000000">
            <w:pPr>
              <w:spacing w:before="120" w:after="40"/>
            </w:pPr>
            <w:r>
              <w:rPr>
                <w:b/>
                <w:bCs/>
                <w:color w:val="C9A84C"/>
              </w:rPr>
              <w:t>KONTAKT</w:t>
            </w:r>
          </w:p>
          <w:p w14:paraId="359D3E08" w14:textId="77777777" w:rsidR="00C76D74" w:rsidRDefault="00000000">
            <w:pPr>
              <w:spacing w:before="30" w:after="30"/>
            </w:pPr>
            <w:r>
              <w:rPr>
                <w:color w:val="FFFFFF"/>
                <w:sz w:val="18"/>
                <w:szCs w:val="18"/>
              </w:rPr>
              <w:t>📧  t.kellermann@email.de</w:t>
            </w:r>
          </w:p>
          <w:p w14:paraId="6C618781" w14:textId="77777777" w:rsidR="00C76D74" w:rsidRDefault="00000000">
            <w:pPr>
              <w:spacing w:after="30"/>
            </w:pPr>
            <w:r>
              <w:rPr>
                <w:color w:val="FFFFFF"/>
                <w:sz w:val="18"/>
                <w:szCs w:val="18"/>
              </w:rPr>
              <w:t>📞  +49 176 5432 1098</w:t>
            </w:r>
          </w:p>
          <w:p w14:paraId="74984E74" w14:textId="77777777" w:rsidR="00C76D74" w:rsidRDefault="00000000">
            <w:pPr>
              <w:spacing w:after="30"/>
            </w:pPr>
            <w:r>
              <w:rPr>
                <w:color w:val="FFFFFF"/>
                <w:sz w:val="18"/>
                <w:szCs w:val="18"/>
              </w:rPr>
              <w:t>📍  Königsallee 88, 40212 Düsseldorf</w:t>
            </w:r>
          </w:p>
          <w:p w14:paraId="1206BC3E" w14:textId="77777777" w:rsidR="00C76D74" w:rsidRDefault="00000000">
            <w:pPr>
              <w:spacing w:after="100"/>
            </w:pPr>
            <w:r>
              <w:rPr>
                <w:color w:val="FFFFFF"/>
                <w:sz w:val="18"/>
                <w:szCs w:val="18"/>
              </w:rPr>
              <w:t>🔗  linkedin.com/in/thomaskellermann</w:t>
            </w:r>
          </w:p>
          <w:p w14:paraId="277052FE" w14:textId="77777777" w:rsidR="00C76D74" w:rsidRDefault="00000000">
            <w:pPr>
              <w:spacing w:before="120" w:after="60"/>
            </w:pPr>
            <w:r>
              <w:rPr>
                <w:b/>
                <w:bCs/>
                <w:color w:val="C9A84C"/>
              </w:rPr>
              <w:t>KERNKOMPETENZEN</w:t>
            </w:r>
          </w:p>
          <w:p w14:paraId="1B2CA428" w14:textId="77777777" w:rsidR="00C76D74" w:rsidRDefault="00000000">
            <w:pPr>
              <w:spacing w:before="60" w:after="40"/>
            </w:pPr>
            <w:r>
              <w:rPr>
                <w:color w:val="FFFFFF"/>
                <w:sz w:val="19"/>
                <w:szCs w:val="19"/>
              </w:rPr>
              <w:t xml:space="preserve">Strategische Planung </w:t>
            </w:r>
            <w:r>
              <w:rPr>
                <w:color w:val="C9A84C"/>
                <w:sz w:val="18"/>
                <w:szCs w:val="18"/>
              </w:rPr>
              <w:t>●●●●●</w:t>
            </w:r>
          </w:p>
          <w:p w14:paraId="1AA249C2" w14:textId="77777777" w:rsidR="00C76D74" w:rsidRDefault="00000000">
            <w:pPr>
              <w:spacing w:before="60" w:after="40"/>
            </w:pPr>
            <w:r>
              <w:rPr>
                <w:color w:val="FFFFFF"/>
                <w:sz w:val="19"/>
                <w:szCs w:val="19"/>
              </w:rPr>
              <w:t xml:space="preserve">Change Management </w:t>
            </w:r>
            <w:r>
              <w:rPr>
                <w:color w:val="C9A84C"/>
                <w:sz w:val="18"/>
                <w:szCs w:val="18"/>
              </w:rPr>
              <w:t>●●●●●</w:t>
            </w:r>
          </w:p>
          <w:p w14:paraId="5EF445EE" w14:textId="77777777" w:rsidR="00C76D74" w:rsidRDefault="00000000">
            <w:pPr>
              <w:spacing w:before="60" w:after="40"/>
            </w:pPr>
            <w:r>
              <w:rPr>
                <w:color w:val="FFFFFF"/>
                <w:sz w:val="19"/>
                <w:szCs w:val="19"/>
              </w:rPr>
              <w:t xml:space="preserve">M&amp;A &amp; Business Dev. </w:t>
            </w:r>
            <w:r>
              <w:rPr>
                <w:color w:val="C9A84C"/>
                <w:sz w:val="18"/>
                <w:szCs w:val="18"/>
              </w:rPr>
              <w:t>●●●●</w:t>
            </w:r>
            <w:r>
              <w:rPr>
                <w:color w:val="D0D5DD"/>
                <w:sz w:val="18"/>
                <w:szCs w:val="18"/>
              </w:rPr>
              <w:t>○</w:t>
            </w:r>
          </w:p>
          <w:p w14:paraId="5C2BACFA" w14:textId="77777777" w:rsidR="00C76D74" w:rsidRDefault="00000000">
            <w:pPr>
              <w:spacing w:before="60" w:after="40"/>
            </w:pPr>
            <w:r>
              <w:rPr>
                <w:color w:val="FFFFFF"/>
                <w:sz w:val="19"/>
                <w:szCs w:val="19"/>
              </w:rPr>
              <w:t xml:space="preserve">Finanzsteuerung </w:t>
            </w:r>
            <w:r>
              <w:rPr>
                <w:color w:val="C9A84C"/>
                <w:sz w:val="18"/>
                <w:szCs w:val="18"/>
              </w:rPr>
              <w:t>●●●●</w:t>
            </w:r>
            <w:r>
              <w:rPr>
                <w:color w:val="D0D5DD"/>
                <w:sz w:val="18"/>
                <w:szCs w:val="18"/>
              </w:rPr>
              <w:t>○</w:t>
            </w:r>
          </w:p>
          <w:p w14:paraId="1297D3C8" w14:textId="77777777" w:rsidR="00C76D74" w:rsidRDefault="00000000">
            <w:pPr>
              <w:spacing w:before="60" w:after="40"/>
            </w:pPr>
            <w:r>
              <w:rPr>
                <w:color w:val="FFFFFF"/>
                <w:sz w:val="19"/>
                <w:szCs w:val="19"/>
              </w:rPr>
              <w:t xml:space="preserve">Krisenmanagement </w:t>
            </w:r>
            <w:r>
              <w:rPr>
                <w:color w:val="C9A84C"/>
                <w:sz w:val="18"/>
                <w:szCs w:val="18"/>
              </w:rPr>
              <w:t>●●●●</w:t>
            </w:r>
            <w:r>
              <w:rPr>
                <w:color w:val="D0D5DD"/>
                <w:sz w:val="18"/>
                <w:szCs w:val="18"/>
              </w:rPr>
              <w:t>○</w:t>
            </w:r>
          </w:p>
          <w:p w14:paraId="65A454C7" w14:textId="77777777" w:rsidR="00C76D74" w:rsidRDefault="00C76D74">
            <w:pPr>
              <w:spacing w:after="100"/>
            </w:pPr>
          </w:p>
          <w:p w14:paraId="6C554E2D" w14:textId="77777777" w:rsidR="00C76D74" w:rsidRDefault="00000000">
            <w:pPr>
              <w:spacing w:before="120" w:after="60"/>
            </w:pPr>
            <w:r>
              <w:rPr>
                <w:b/>
                <w:bCs/>
                <w:color w:val="C9A84C"/>
              </w:rPr>
              <w:t>SPRACHEN</w:t>
            </w:r>
          </w:p>
          <w:p w14:paraId="1FA5062B" w14:textId="77777777" w:rsidR="00C76D74" w:rsidRDefault="00000000">
            <w:pPr>
              <w:spacing w:before="60" w:after="40"/>
            </w:pPr>
            <w:r>
              <w:rPr>
                <w:color w:val="FFFFFF"/>
                <w:sz w:val="19"/>
                <w:szCs w:val="19"/>
              </w:rPr>
              <w:t xml:space="preserve">Deutsch (Muttersprache) </w:t>
            </w:r>
            <w:r>
              <w:rPr>
                <w:color w:val="C9A84C"/>
                <w:sz w:val="18"/>
                <w:szCs w:val="18"/>
              </w:rPr>
              <w:t>●●●●●</w:t>
            </w:r>
          </w:p>
          <w:p w14:paraId="18EA4FCD" w14:textId="77777777" w:rsidR="00C76D74" w:rsidRDefault="00000000">
            <w:pPr>
              <w:spacing w:before="60" w:after="40"/>
            </w:pPr>
            <w:r>
              <w:rPr>
                <w:color w:val="FFFFFF"/>
                <w:sz w:val="19"/>
                <w:szCs w:val="19"/>
              </w:rPr>
              <w:t xml:space="preserve">Englisch (C2) </w:t>
            </w:r>
            <w:r>
              <w:rPr>
                <w:color w:val="C9A84C"/>
                <w:sz w:val="18"/>
                <w:szCs w:val="18"/>
              </w:rPr>
              <w:t>●●●●●</w:t>
            </w:r>
          </w:p>
          <w:p w14:paraId="70043D71" w14:textId="77777777" w:rsidR="00C76D74" w:rsidRDefault="00000000">
            <w:pPr>
              <w:spacing w:before="60" w:after="40"/>
            </w:pPr>
            <w:r>
              <w:rPr>
                <w:color w:val="FFFFFF"/>
                <w:sz w:val="19"/>
                <w:szCs w:val="19"/>
              </w:rPr>
              <w:t xml:space="preserve">Französisch (B2) </w:t>
            </w:r>
            <w:r>
              <w:rPr>
                <w:color w:val="C9A84C"/>
                <w:sz w:val="18"/>
                <w:szCs w:val="18"/>
              </w:rPr>
              <w:t>●●●</w:t>
            </w:r>
            <w:r>
              <w:rPr>
                <w:color w:val="D0D5DD"/>
                <w:sz w:val="18"/>
                <w:szCs w:val="18"/>
              </w:rPr>
              <w:t>○○</w:t>
            </w:r>
          </w:p>
          <w:p w14:paraId="6DB60D50" w14:textId="77777777" w:rsidR="00C76D74" w:rsidRDefault="00000000">
            <w:pPr>
              <w:spacing w:before="60" w:after="40"/>
            </w:pPr>
            <w:r>
              <w:rPr>
                <w:color w:val="FFFFFF"/>
                <w:sz w:val="19"/>
                <w:szCs w:val="19"/>
              </w:rPr>
              <w:t xml:space="preserve">Mandarin (A2) </w:t>
            </w:r>
            <w:r>
              <w:rPr>
                <w:color w:val="C9A84C"/>
                <w:sz w:val="18"/>
                <w:szCs w:val="18"/>
              </w:rPr>
              <w:t>●</w:t>
            </w:r>
            <w:r>
              <w:rPr>
                <w:color w:val="D0D5DD"/>
                <w:sz w:val="18"/>
                <w:szCs w:val="18"/>
              </w:rPr>
              <w:t>○○○○</w:t>
            </w:r>
          </w:p>
          <w:p w14:paraId="7C299A3D" w14:textId="77777777" w:rsidR="00C76D74" w:rsidRDefault="00C76D74">
            <w:pPr>
              <w:spacing w:after="100"/>
            </w:pPr>
          </w:p>
          <w:p w14:paraId="630F10D1" w14:textId="77777777" w:rsidR="00C76D74" w:rsidRDefault="00000000">
            <w:pPr>
              <w:spacing w:before="120" w:after="60"/>
            </w:pPr>
            <w:r>
              <w:rPr>
                <w:b/>
                <w:bCs/>
                <w:color w:val="C9A84C"/>
              </w:rPr>
              <w:t>AUSBILDUNG</w:t>
            </w:r>
          </w:p>
          <w:p w14:paraId="5405091A" w14:textId="77777777" w:rsidR="00C76D74" w:rsidRDefault="00000000">
            <w:pPr>
              <w:spacing w:before="40" w:after="20"/>
            </w:pPr>
            <w:r>
              <w:rPr>
                <w:b/>
                <w:bCs/>
                <w:color w:val="FFFFFF"/>
                <w:sz w:val="18"/>
                <w:szCs w:val="18"/>
              </w:rPr>
              <w:t>MBA – INSEAD, Fontainebleau</w:t>
            </w:r>
          </w:p>
          <w:p w14:paraId="603B08DA" w14:textId="77777777" w:rsidR="00C76D74" w:rsidRDefault="00000000">
            <w:pPr>
              <w:spacing w:after="60"/>
            </w:pPr>
            <w:r>
              <w:rPr>
                <w:i/>
                <w:iCs/>
                <w:color w:val="FFFFFF"/>
                <w:sz w:val="17"/>
                <w:szCs w:val="17"/>
              </w:rPr>
              <w:t>2001 – 2003</w:t>
            </w:r>
          </w:p>
          <w:p w14:paraId="53CF8E4D" w14:textId="77777777" w:rsidR="00C76D74" w:rsidRDefault="00000000">
            <w:pPr>
              <w:spacing w:before="40" w:after="20"/>
            </w:pPr>
            <w:r>
              <w:rPr>
                <w:b/>
                <w:bCs/>
                <w:color w:val="FFFFFF"/>
                <w:sz w:val="18"/>
                <w:szCs w:val="18"/>
              </w:rPr>
              <w:t>Dipl.-Kaufmann – LMU München</w:t>
            </w:r>
          </w:p>
          <w:p w14:paraId="5C930A85" w14:textId="77777777" w:rsidR="00C76D74" w:rsidRDefault="00000000">
            <w:pPr>
              <w:spacing w:after="100"/>
            </w:pPr>
            <w:r>
              <w:rPr>
                <w:i/>
                <w:iCs/>
                <w:color w:val="FFFFFF"/>
                <w:sz w:val="17"/>
                <w:szCs w:val="17"/>
              </w:rPr>
              <w:t>1995 – 2001</w:t>
            </w:r>
          </w:p>
          <w:p w14:paraId="10077566" w14:textId="77777777" w:rsidR="00C76D74" w:rsidRDefault="00000000">
            <w:pPr>
              <w:spacing w:before="120" w:after="60"/>
            </w:pPr>
            <w:r>
              <w:rPr>
                <w:b/>
                <w:bCs/>
                <w:color w:val="C9A84C"/>
              </w:rPr>
              <w:t>ZERTIFIZIERUNGEN</w:t>
            </w:r>
          </w:p>
          <w:p w14:paraId="092F7ECF" w14:textId="77777777" w:rsidR="00C76D74" w:rsidRDefault="00000000">
            <w:pPr>
              <w:spacing w:before="40" w:after="30"/>
            </w:pPr>
            <w:r>
              <w:rPr>
                <w:color w:val="FFFFFF"/>
                <w:sz w:val="18"/>
                <w:szCs w:val="18"/>
              </w:rPr>
              <w:t>CFA Charterholder (2005)</w:t>
            </w:r>
          </w:p>
          <w:p w14:paraId="7E2079E0" w14:textId="77777777" w:rsidR="00C76D74" w:rsidRPr="00585A08" w:rsidRDefault="00000000">
            <w:pPr>
              <w:spacing w:after="30"/>
              <w:rPr>
                <w:lang w:val="es-ES"/>
              </w:rPr>
            </w:pPr>
            <w:r w:rsidRPr="00585A08">
              <w:rPr>
                <w:color w:val="FFFFFF"/>
                <w:sz w:val="18"/>
                <w:szCs w:val="18"/>
                <w:lang w:val="es-ES"/>
              </w:rPr>
              <w:t>Certified Board Director – DCGK (2018)</w:t>
            </w:r>
          </w:p>
          <w:p w14:paraId="3EF08CCC" w14:textId="77777777" w:rsidR="00C76D74" w:rsidRPr="00585A08" w:rsidRDefault="00000000">
            <w:pPr>
              <w:spacing w:after="100"/>
              <w:rPr>
                <w:lang w:val="es-ES"/>
              </w:rPr>
            </w:pPr>
            <w:r w:rsidRPr="00585A08">
              <w:rPr>
                <w:color w:val="FFFFFF"/>
                <w:sz w:val="18"/>
                <w:szCs w:val="18"/>
                <w:lang w:val="es-ES"/>
              </w:rPr>
              <w:t>Agile Leadership – SAFe (2021)</w:t>
            </w:r>
          </w:p>
          <w:p w14:paraId="2D5642DB" w14:textId="77777777" w:rsidR="00C76D74" w:rsidRDefault="00000000">
            <w:pPr>
              <w:spacing w:before="120" w:after="60"/>
            </w:pPr>
            <w:r>
              <w:rPr>
                <w:b/>
                <w:bCs/>
                <w:color w:val="C9A84C"/>
              </w:rPr>
              <w:t>EHRENAMT</w:t>
            </w:r>
          </w:p>
          <w:p w14:paraId="614F8FBE" w14:textId="77777777" w:rsidR="00C76D74" w:rsidRDefault="00000000">
            <w:pPr>
              <w:spacing w:before="40" w:after="30"/>
            </w:pPr>
            <w:r>
              <w:rPr>
                <w:color w:val="FFFFFF"/>
                <w:sz w:val="17"/>
                <w:szCs w:val="17"/>
              </w:rPr>
              <w:t>Vorstandsmitglied – Wirtschaftsjunioren NRW</w:t>
            </w:r>
          </w:p>
          <w:p w14:paraId="444A511A" w14:textId="77777777" w:rsidR="00C76D74" w:rsidRDefault="00000000">
            <w:pPr>
              <w:spacing w:after="30"/>
            </w:pPr>
            <w:r>
              <w:rPr>
                <w:color w:val="FFFFFF"/>
                <w:sz w:val="17"/>
                <w:szCs w:val="17"/>
              </w:rPr>
              <w:t>Mentor – Female Leadership Initiative DACH</w:t>
            </w:r>
          </w:p>
          <w:p w14:paraId="72162D8E" w14:textId="77777777" w:rsidR="00C76D74" w:rsidRDefault="00C76D74">
            <w:pPr>
              <w:spacing w:after="400"/>
            </w:pPr>
          </w:p>
        </w:tc>
        <w:tc>
          <w:tcPr>
            <w:tcW w:w="8085" w:type="dxa"/>
            <w:shd w:val="clear" w:color="auto" w:fill="FFFFFF"/>
            <w:tcMar>
              <w:top w:w="0" w:type="dxa"/>
              <w:left w:w="280" w:type="dxa"/>
              <w:bottom w:w="0" w:type="dxa"/>
              <w:right w:w="0" w:type="dxa"/>
            </w:tcMar>
          </w:tcPr>
          <w:p w14:paraId="57DE9BFE" w14:textId="77777777" w:rsidR="00C76D74" w:rsidRDefault="00C76D74">
            <w:pPr>
              <w:spacing w:before="420" w:after="10"/>
            </w:pPr>
          </w:p>
          <w:p w14:paraId="12133F69" w14:textId="77777777" w:rsidR="00C76D74" w:rsidRDefault="00000000">
            <w:pPr>
              <w:pBdr>
                <w:bottom w:val="single" w:sz="8" w:space="28" w:color="C9A84C"/>
              </w:pBdr>
              <w:spacing w:before="200" w:after="60"/>
            </w:pPr>
            <w:r>
              <w:rPr>
                <w:b/>
                <w:bCs/>
                <w:color w:val="1B2D4F"/>
                <w:sz w:val="24"/>
                <w:szCs w:val="24"/>
              </w:rPr>
              <w:t>PROFIL</w:t>
            </w:r>
          </w:p>
          <w:p w14:paraId="07745459" w14:textId="77777777" w:rsidR="00C76D74" w:rsidRDefault="00000000">
            <w:pPr>
              <w:spacing w:after="160"/>
            </w:pPr>
            <w:r>
              <w:t>Erfahrener Geschäftsführer mit über 20 Jahren Führungserfahrung in internationalen Konzernen der Industrie- und Technologiebranche. Bewiesene Erfolgsbilanz bei der Transformation mittelgroßer Unternehmen (50–2.000 MA) durch datengetriebene Strategie, konsequente Kostenoptimierung und nachhaltigem Wachstum. Ausgeprägtes Verständnis für Corporate Governance sowie Erfahrung in der Zusammenarbeit mit Aufsichtsräten und internationalen Investoren.</w:t>
            </w:r>
          </w:p>
          <w:p w14:paraId="14D48C76" w14:textId="77777777" w:rsidR="00C76D74" w:rsidRDefault="00000000">
            <w:pPr>
              <w:pBdr>
                <w:bottom w:val="single" w:sz="8" w:space="28" w:color="C9A84C"/>
              </w:pBdr>
              <w:spacing w:before="200" w:after="60"/>
            </w:pPr>
            <w:r>
              <w:rPr>
                <w:b/>
                <w:bCs/>
                <w:color w:val="1B2D4F"/>
                <w:sz w:val="24"/>
                <w:szCs w:val="24"/>
              </w:rPr>
              <w:t>SCHLÜSSELERFOLGE</w:t>
            </w:r>
          </w:p>
          <w:p w14:paraId="391D5233" w14:textId="77777777" w:rsidR="00C76D74" w:rsidRDefault="00C76D74">
            <w:pPr>
              <w:spacing w:before="120" w:after="60"/>
            </w:pPr>
          </w:p>
          <w:tbl>
            <w:tblPr>
              <w:tblW w:w="7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841"/>
              <w:gridCol w:w="1841"/>
              <w:gridCol w:w="1842"/>
              <w:gridCol w:w="1842"/>
            </w:tblGrid>
            <w:tr w:rsidR="00C76D74" w14:paraId="14BB8F81" w14:textId="77777777" w:rsidTr="00585A08">
              <w:tblPrEx>
                <w:tblCellMar>
                  <w:top w:w="0" w:type="dxa"/>
                  <w:bottom w:w="0" w:type="dxa"/>
                </w:tblCellMar>
              </w:tblPrEx>
              <w:tc>
                <w:tcPr>
                  <w:tcW w:w="1841" w:type="dxa"/>
                  <w:tcBorders>
                    <w:top w:val="single" w:sz="12" w:space="0" w:color="C9A84C"/>
                  </w:tcBorders>
                  <w:shd w:val="clear" w:color="auto" w:fill="FDF6E3"/>
                  <w:tcMar>
                    <w:top w:w="120" w:type="dxa"/>
                    <w:left w:w="140" w:type="dxa"/>
                    <w:bottom w:w="120" w:type="dxa"/>
                    <w:right w:w="140" w:type="dxa"/>
                  </w:tcMar>
                  <w:vAlign w:val="center"/>
                </w:tcPr>
                <w:p w14:paraId="34E7455F" w14:textId="77777777" w:rsidR="00C76D74" w:rsidRDefault="00000000">
                  <w:pPr>
                    <w:jc w:val="center"/>
                  </w:pPr>
                  <w:r>
                    <w:rPr>
                      <w:b/>
                      <w:bCs/>
                      <w:color w:val="1B2D4F"/>
                      <w:sz w:val="28"/>
                      <w:szCs w:val="28"/>
                    </w:rPr>
                    <w:t>+340 Mio. €</w:t>
                  </w:r>
                </w:p>
                <w:p w14:paraId="275D14FF" w14:textId="77777777" w:rsidR="00C76D74" w:rsidRDefault="00000000">
                  <w:pPr>
                    <w:spacing w:before="40"/>
                    <w:jc w:val="center"/>
                  </w:pPr>
                  <w:r>
                    <w:rPr>
                      <w:sz w:val="16"/>
                      <w:szCs w:val="16"/>
                    </w:rPr>
                    <w:t>Umsatzsteigerung verantwortet</w:t>
                  </w:r>
                </w:p>
              </w:tc>
              <w:tc>
                <w:tcPr>
                  <w:tcW w:w="1841" w:type="dxa"/>
                  <w:tcBorders>
                    <w:top w:val="single" w:sz="12" w:space="0" w:color="C9A84C"/>
                  </w:tcBorders>
                  <w:shd w:val="clear" w:color="auto" w:fill="FDF6E3"/>
                  <w:tcMar>
                    <w:top w:w="120" w:type="dxa"/>
                    <w:left w:w="140" w:type="dxa"/>
                    <w:bottom w:w="120" w:type="dxa"/>
                    <w:right w:w="140" w:type="dxa"/>
                  </w:tcMar>
                  <w:vAlign w:val="center"/>
                </w:tcPr>
                <w:p w14:paraId="38FB390E" w14:textId="77777777" w:rsidR="00C76D74" w:rsidRDefault="00000000">
                  <w:pPr>
                    <w:jc w:val="center"/>
                  </w:pPr>
                  <w:r>
                    <w:rPr>
                      <w:b/>
                      <w:bCs/>
                      <w:color w:val="1B2D4F"/>
                      <w:sz w:val="28"/>
                      <w:szCs w:val="28"/>
                    </w:rPr>
                    <w:t>4 M&amp;A</w:t>
                  </w:r>
                </w:p>
                <w:p w14:paraId="18C88D54" w14:textId="77777777" w:rsidR="00C76D74" w:rsidRDefault="00000000">
                  <w:pPr>
                    <w:spacing w:before="40"/>
                    <w:jc w:val="center"/>
                  </w:pPr>
                  <w:r>
                    <w:rPr>
                      <w:sz w:val="16"/>
                      <w:szCs w:val="16"/>
                    </w:rPr>
                    <w:t>Transaktionen erfolg. abgeschlossen</w:t>
                  </w:r>
                </w:p>
              </w:tc>
              <w:tc>
                <w:tcPr>
                  <w:tcW w:w="1841" w:type="dxa"/>
                  <w:tcBorders>
                    <w:top w:val="single" w:sz="12" w:space="0" w:color="C9A84C"/>
                  </w:tcBorders>
                  <w:shd w:val="clear" w:color="auto" w:fill="FDF6E3"/>
                  <w:tcMar>
                    <w:top w:w="120" w:type="dxa"/>
                    <w:left w:w="140" w:type="dxa"/>
                    <w:bottom w:w="120" w:type="dxa"/>
                    <w:right w:w="140" w:type="dxa"/>
                  </w:tcMar>
                  <w:vAlign w:val="center"/>
                </w:tcPr>
                <w:p w14:paraId="60E28EAE" w14:textId="77777777" w:rsidR="00C76D74" w:rsidRDefault="00000000">
                  <w:pPr>
                    <w:jc w:val="center"/>
                  </w:pPr>
                  <w:r>
                    <w:rPr>
                      <w:b/>
                      <w:bCs/>
                      <w:color w:val="1B2D4F"/>
                      <w:sz w:val="28"/>
                      <w:szCs w:val="28"/>
                    </w:rPr>
                    <w:t>12 Länder</w:t>
                  </w:r>
                </w:p>
                <w:p w14:paraId="6E8887C5" w14:textId="77777777" w:rsidR="00C76D74" w:rsidRDefault="00000000">
                  <w:pPr>
                    <w:spacing w:before="40"/>
                    <w:jc w:val="center"/>
                  </w:pPr>
                  <w:r>
                    <w:rPr>
                      <w:sz w:val="16"/>
                      <w:szCs w:val="16"/>
                    </w:rPr>
                    <w:t>Internationale Expansion geführt</w:t>
                  </w:r>
                </w:p>
              </w:tc>
              <w:tc>
                <w:tcPr>
                  <w:tcW w:w="1841" w:type="dxa"/>
                  <w:tcBorders>
                    <w:top w:val="single" w:sz="12" w:space="0" w:color="C9A84C"/>
                  </w:tcBorders>
                  <w:shd w:val="clear" w:color="auto" w:fill="FDF6E3"/>
                  <w:tcMar>
                    <w:top w:w="120" w:type="dxa"/>
                    <w:left w:w="140" w:type="dxa"/>
                    <w:bottom w:w="120" w:type="dxa"/>
                    <w:right w:w="140" w:type="dxa"/>
                  </w:tcMar>
                  <w:vAlign w:val="center"/>
                </w:tcPr>
                <w:p w14:paraId="06CD7340" w14:textId="77777777" w:rsidR="00C76D74" w:rsidRDefault="00000000">
                  <w:pPr>
                    <w:jc w:val="center"/>
                  </w:pPr>
                  <w:r>
                    <w:rPr>
                      <w:b/>
                      <w:bCs/>
                      <w:color w:val="1B2D4F"/>
                      <w:sz w:val="28"/>
                      <w:szCs w:val="28"/>
                    </w:rPr>
                    <w:t>92 %</w:t>
                  </w:r>
                </w:p>
                <w:p w14:paraId="12CB1A45" w14:textId="77777777" w:rsidR="00C76D74" w:rsidRDefault="00000000">
                  <w:pPr>
                    <w:spacing w:before="40"/>
                    <w:jc w:val="center"/>
                  </w:pPr>
                  <w:r>
                    <w:rPr>
                      <w:sz w:val="16"/>
                      <w:szCs w:val="16"/>
                    </w:rPr>
                    <w:t>Mitarbeiterzu- friedenheit erreicht</w:t>
                  </w:r>
                </w:p>
              </w:tc>
            </w:tr>
          </w:tbl>
          <w:p w14:paraId="7A7CF172" w14:textId="77777777" w:rsidR="00C76D74" w:rsidRDefault="00C76D74">
            <w:pPr>
              <w:spacing w:after="160"/>
            </w:pPr>
          </w:p>
          <w:p w14:paraId="26479B5A" w14:textId="77777777" w:rsidR="00C76D74" w:rsidRDefault="00000000">
            <w:pPr>
              <w:pBdr>
                <w:bottom w:val="single" w:sz="8" w:space="28" w:color="C9A84C"/>
              </w:pBdr>
              <w:spacing w:before="200" w:after="60"/>
            </w:pPr>
            <w:r>
              <w:rPr>
                <w:b/>
                <w:bCs/>
                <w:color w:val="1B2D4F"/>
                <w:sz w:val="24"/>
                <w:szCs w:val="24"/>
              </w:rPr>
              <w:t>BERUFLICHER WERDEGANG</w:t>
            </w:r>
          </w:p>
          <w:p w14:paraId="241F85C4" w14:textId="77777777" w:rsidR="00C76D74" w:rsidRDefault="00000000">
            <w:pPr>
              <w:spacing w:before="160" w:after="40"/>
            </w:pPr>
            <w:r>
              <w:rPr>
                <w:b/>
                <w:bCs/>
                <w:color w:val="1B2D4F"/>
                <w:sz w:val="22"/>
                <w:szCs w:val="22"/>
              </w:rPr>
              <w:t>Vorstand &amp; CEO</w:t>
            </w:r>
            <w:r>
              <w:rPr>
                <w:color w:val="D0D5DD"/>
              </w:rPr>
              <w:t xml:space="preserve">  |  </w:t>
            </w:r>
            <w:r>
              <w:t>Hartmann Industriewerke AG, Frankfurt a.M.</w:t>
            </w:r>
          </w:p>
          <w:p w14:paraId="685B8146" w14:textId="77777777" w:rsidR="00C76D74" w:rsidRDefault="00000000">
            <w:pPr>
              <w:spacing w:after="60"/>
            </w:pPr>
            <w:r>
              <w:rPr>
                <w:b/>
                <w:bCs/>
                <w:i/>
                <w:iCs/>
                <w:color w:val="C9A84C"/>
                <w:sz w:val="18"/>
                <w:szCs w:val="18"/>
              </w:rPr>
              <w:t>März 2018 – Gegenwart</w:t>
            </w:r>
          </w:p>
          <w:p w14:paraId="197B48CD" w14:textId="77777777" w:rsidR="00C76D74" w:rsidRDefault="00000000">
            <w:pPr>
              <w:spacing w:before="30" w:after="30"/>
              <w:ind w:left="200" w:hanging="200"/>
            </w:pPr>
            <w:r>
              <w:rPr>
                <w:color w:val="C9A84C"/>
                <w:sz w:val="19"/>
                <w:szCs w:val="19"/>
              </w:rPr>
              <w:t xml:space="preserve">▸  </w:t>
            </w:r>
            <w:r>
              <w:rPr>
                <w:sz w:val="19"/>
                <w:szCs w:val="19"/>
              </w:rPr>
              <w:t>Gesamtverantwortung für ein Unternehmen mit 1.800 Mitarbeitenden und einem Jahresumsatz von 620 Mio. €</w:t>
            </w:r>
          </w:p>
          <w:p w14:paraId="29A4A94E" w14:textId="77777777" w:rsidR="00C76D74" w:rsidRDefault="00000000">
            <w:pPr>
              <w:spacing w:before="30" w:after="30"/>
              <w:ind w:left="200" w:hanging="200"/>
            </w:pPr>
            <w:r>
              <w:rPr>
                <w:color w:val="C9A84C"/>
                <w:sz w:val="19"/>
                <w:szCs w:val="19"/>
              </w:rPr>
              <w:t xml:space="preserve">▸  </w:t>
            </w:r>
            <w:r>
              <w:rPr>
                <w:sz w:val="19"/>
                <w:szCs w:val="19"/>
              </w:rPr>
              <w:t>Umsetzung einer konzernweiten Digitalisierungsstrategie (SAP S/4HANA, IoT-Plattform); EBITDA-Verbesserung um 6,2 Prozentpunkte</w:t>
            </w:r>
          </w:p>
          <w:p w14:paraId="2CFFDE18" w14:textId="77777777" w:rsidR="00C76D74" w:rsidRDefault="00000000">
            <w:pPr>
              <w:spacing w:before="30" w:after="30"/>
              <w:ind w:left="200" w:hanging="200"/>
            </w:pPr>
            <w:r>
              <w:rPr>
                <w:color w:val="C9A84C"/>
                <w:sz w:val="19"/>
                <w:szCs w:val="19"/>
              </w:rPr>
              <w:t xml:space="preserve">▸  </w:t>
            </w:r>
            <w:r>
              <w:rPr>
                <w:sz w:val="19"/>
                <w:szCs w:val="19"/>
              </w:rPr>
              <w:t>Erfolgreiche Akquisition und Integration von zwei europäischen Wettbewerbern (Transaktionsvolumen: 190 Mio. €)</w:t>
            </w:r>
          </w:p>
          <w:p w14:paraId="6EF80081" w14:textId="77777777" w:rsidR="00C76D74" w:rsidRDefault="00000000">
            <w:pPr>
              <w:spacing w:before="30" w:after="30"/>
              <w:ind w:left="200" w:hanging="200"/>
            </w:pPr>
            <w:r>
              <w:rPr>
                <w:color w:val="C9A84C"/>
                <w:sz w:val="19"/>
                <w:szCs w:val="19"/>
              </w:rPr>
              <w:t xml:space="preserve">▸  </w:t>
            </w:r>
            <w:r>
              <w:rPr>
                <w:sz w:val="19"/>
                <w:szCs w:val="19"/>
              </w:rPr>
              <w:t>Aufbau eines nachhaltigkeitsorientierten ESG-Rahmens; Reduktion der CO₂-Emissionen um 28 % bis 2023</w:t>
            </w:r>
          </w:p>
          <w:p w14:paraId="3B384123" w14:textId="77777777" w:rsidR="00C76D74" w:rsidRDefault="00000000">
            <w:pPr>
              <w:spacing w:before="30" w:after="30"/>
              <w:ind w:left="200" w:hanging="200"/>
            </w:pPr>
            <w:r>
              <w:rPr>
                <w:color w:val="C9A84C"/>
                <w:sz w:val="19"/>
                <w:szCs w:val="19"/>
              </w:rPr>
              <w:t xml:space="preserve">▸  </w:t>
            </w:r>
            <w:r>
              <w:rPr>
                <w:sz w:val="19"/>
                <w:szCs w:val="19"/>
              </w:rPr>
              <w:t>Steigerung des Net Promoter Score von 41 auf 68 durch Neuausrichtung der Kundenstrategie</w:t>
            </w:r>
          </w:p>
          <w:p w14:paraId="7827A152" w14:textId="77777777" w:rsidR="00C76D74" w:rsidRDefault="00000000">
            <w:pPr>
              <w:spacing w:before="160" w:after="40"/>
            </w:pPr>
            <w:r>
              <w:rPr>
                <w:b/>
                <w:bCs/>
                <w:color w:val="1B2D4F"/>
                <w:sz w:val="22"/>
                <w:szCs w:val="22"/>
              </w:rPr>
              <w:t>Geschäftsführer Operations &amp; Strategie</w:t>
            </w:r>
            <w:r>
              <w:rPr>
                <w:color w:val="D0D5DD"/>
              </w:rPr>
              <w:t xml:space="preserve">  |  </w:t>
            </w:r>
            <w:r>
              <w:t>NordTech Solutions GmbH, Hamburg</w:t>
            </w:r>
          </w:p>
          <w:p w14:paraId="2364BD2E" w14:textId="77777777" w:rsidR="00C76D74" w:rsidRDefault="00000000">
            <w:pPr>
              <w:spacing w:after="60"/>
            </w:pPr>
            <w:r>
              <w:rPr>
                <w:b/>
                <w:bCs/>
                <w:i/>
                <w:iCs/>
                <w:color w:val="C9A84C"/>
                <w:sz w:val="18"/>
                <w:szCs w:val="18"/>
              </w:rPr>
              <w:t>Januar 2012 – Februar 2018</w:t>
            </w:r>
          </w:p>
          <w:p w14:paraId="6ABA40E2" w14:textId="77777777" w:rsidR="00C76D74" w:rsidRDefault="00000000">
            <w:pPr>
              <w:spacing w:before="30" w:after="30"/>
              <w:ind w:left="200" w:hanging="200"/>
            </w:pPr>
            <w:r>
              <w:rPr>
                <w:color w:val="C9A84C"/>
                <w:sz w:val="19"/>
                <w:szCs w:val="19"/>
              </w:rPr>
              <w:t xml:space="preserve">▸  </w:t>
            </w:r>
            <w:r>
              <w:rPr>
                <w:sz w:val="19"/>
                <w:szCs w:val="19"/>
              </w:rPr>
              <w:t>Führungsverantwortung für 620 Mitarbeitende in Produktion, Logistik und IT</w:t>
            </w:r>
          </w:p>
          <w:p w14:paraId="065820A1" w14:textId="77777777" w:rsidR="00C76D74" w:rsidRDefault="00000000">
            <w:pPr>
              <w:spacing w:before="30" w:after="30"/>
              <w:ind w:left="200" w:hanging="200"/>
            </w:pPr>
            <w:r>
              <w:rPr>
                <w:color w:val="C9A84C"/>
                <w:sz w:val="19"/>
                <w:szCs w:val="19"/>
              </w:rPr>
              <w:t xml:space="preserve">▸  </w:t>
            </w:r>
            <w:r>
              <w:rPr>
                <w:sz w:val="19"/>
                <w:szCs w:val="19"/>
              </w:rPr>
              <w:t>Restrukturierung der Supply Chain: Senkung der Betriebskosten um 18 % (ca. 14 Mio. € p.a.)</w:t>
            </w:r>
          </w:p>
          <w:p w14:paraId="7DE883FF" w14:textId="77777777" w:rsidR="00C76D74" w:rsidRDefault="00000000">
            <w:pPr>
              <w:spacing w:before="30" w:after="30"/>
              <w:ind w:left="200" w:hanging="200"/>
            </w:pPr>
            <w:r>
              <w:rPr>
                <w:color w:val="C9A84C"/>
                <w:sz w:val="19"/>
                <w:szCs w:val="19"/>
              </w:rPr>
              <w:t xml:space="preserve">▸  </w:t>
            </w:r>
            <w:r>
              <w:rPr>
                <w:sz w:val="19"/>
                <w:szCs w:val="19"/>
              </w:rPr>
              <w:t>Einführung von Lean-Management-Methoden; Produktivitätssteigerung um 23 % in 24 Monaten</w:t>
            </w:r>
          </w:p>
          <w:p w14:paraId="5C1CC0BA" w14:textId="77777777" w:rsidR="00C76D74" w:rsidRDefault="00000000">
            <w:pPr>
              <w:spacing w:before="30" w:after="30"/>
              <w:ind w:left="200" w:hanging="200"/>
            </w:pPr>
            <w:r>
              <w:rPr>
                <w:color w:val="C9A84C"/>
                <w:sz w:val="19"/>
                <w:szCs w:val="19"/>
              </w:rPr>
              <w:t xml:space="preserve">▸  </w:t>
            </w:r>
            <w:r>
              <w:rPr>
                <w:sz w:val="19"/>
                <w:szCs w:val="19"/>
              </w:rPr>
              <w:t>Leitung der internationalen Expansion in Polen, Tschechien und den Niederlanden</w:t>
            </w:r>
          </w:p>
          <w:p w14:paraId="561A7969" w14:textId="77777777" w:rsidR="00C76D74" w:rsidRDefault="00000000">
            <w:pPr>
              <w:spacing w:before="160" w:after="40"/>
            </w:pPr>
            <w:r>
              <w:rPr>
                <w:b/>
                <w:bCs/>
                <w:color w:val="1B2D4F"/>
                <w:sz w:val="22"/>
                <w:szCs w:val="22"/>
              </w:rPr>
              <w:t>Director Corporate Development</w:t>
            </w:r>
            <w:r>
              <w:rPr>
                <w:color w:val="D0D5DD"/>
              </w:rPr>
              <w:t xml:space="preserve">  |  </w:t>
            </w:r>
            <w:r>
              <w:t>Rheinland Capital Partners GmbH, Düsseldorf</w:t>
            </w:r>
          </w:p>
          <w:p w14:paraId="50B082D1" w14:textId="77777777" w:rsidR="00C76D74" w:rsidRDefault="00000000">
            <w:pPr>
              <w:spacing w:after="60"/>
            </w:pPr>
            <w:r>
              <w:rPr>
                <w:b/>
                <w:bCs/>
                <w:i/>
                <w:iCs/>
                <w:color w:val="C9A84C"/>
                <w:sz w:val="18"/>
                <w:szCs w:val="18"/>
              </w:rPr>
              <w:t>Juni 2005 – Dezember 2011</w:t>
            </w:r>
          </w:p>
          <w:p w14:paraId="1E976551" w14:textId="77777777" w:rsidR="00C76D74" w:rsidRDefault="00000000">
            <w:pPr>
              <w:spacing w:before="30" w:after="30"/>
              <w:ind w:left="200" w:hanging="200"/>
            </w:pPr>
            <w:r>
              <w:rPr>
                <w:color w:val="C9A84C"/>
                <w:sz w:val="19"/>
                <w:szCs w:val="19"/>
              </w:rPr>
              <w:t xml:space="preserve">▸  </w:t>
            </w:r>
            <w:r>
              <w:rPr>
                <w:sz w:val="19"/>
                <w:szCs w:val="19"/>
              </w:rPr>
              <w:t>Verantwortung für das M&amp;A-Pipeline-Management und die Begleitung von Due-Diligence-Prozessen</w:t>
            </w:r>
          </w:p>
          <w:p w14:paraId="3116A2A7" w14:textId="77777777" w:rsidR="00C76D74" w:rsidRDefault="00000000">
            <w:pPr>
              <w:spacing w:before="30" w:after="30"/>
              <w:ind w:left="200" w:hanging="200"/>
            </w:pPr>
            <w:r>
              <w:rPr>
                <w:color w:val="C9A84C"/>
                <w:sz w:val="19"/>
                <w:szCs w:val="19"/>
              </w:rPr>
              <w:t xml:space="preserve">▸  </w:t>
            </w:r>
            <w:r>
              <w:rPr>
                <w:sz w:val="19"/>
                <w:szCs w:val="19"/>
              </w:rPr>
              <w:t>Koordination von zwei Börsengängen (IPO) im SDAX-Segment mit einem Gesamtvolumen von 280 Mio. €</w:t>
            </w:r>
          </w:p>
          <w:p w14:paraId="4C6AAC6C" w14:textId="77777777" w:rsidR="00C76D74" w:rsidRDefault="00000000">
            <w:pPr>
              <w:spacing w:before="30" w:after="30"/>
              <w:ind w:left="200" w:hanging="200"/>
            </w:pPr>
            <w:r>
              <w:rPr>
                <w:color w:val="C9A84C"/>
                <w:sz w:val="19"/>
                <w:szCs w:val="19"/>
              </w:rPr>
              <w:t xml:space="preserve">▸  </w:t>
            </w:r>
            <w:r>
              <w:rPr>
                <w:sz w:val="19"/>
                <w:szCs w:val="19"/>
              </w:rPr>
              <w:t>Entwicklung von Wachstumsstrategien für Portfoliounternehmen in der DACH-Region</w:t>
            </w:r>
          </w:p>
          <w:p w14:paraId="33657736" w14:textId="77777777" w:rsidR="00C76D74" w:rsidRDefault="00000000">
            <w:pPr>
              <w:spacing w:before="160" w:after="40"/>
            </w:pPr>
            <w:r>
              <w:rPr>
                <w:b/>
                <w:bCs/>
                <w:color w:val="1B2D4F"/>
                <w:sz w:val="22"/>
                <w:szCs w:val="22"/>
              </w:rPr>
              <w:t>Senior Unternehmensberater</w:t>
            </w:r>
            <w:r>
              <w:rPr>
                <w:color w:val="D0D5DD"/>
              </w:rPr>
              <w:t xml:space="preserve">  |  </w:t>
            </w:r>
            <w:r>
              <w:t>McKinsey &amp; Company, München</w:t>
            </w:r>
          </w:p>
          <w:p w14:paraId="569B3380" w14:textId="77777777" w:rsidR="00C76D74" w:rsidRDefault="00000000">
            <w:pPr>
              <w:spacing w:after="60"/>
            </w:pPr>
            <w:r>
              <w:rPr>
                <w:b/>
                <w:bCs/>
                <w:i/>
                <w:iCs/>
                <w:color w:val="C9A84C"/>
                <w:sz w:val="18"/>
                <w:szCs w:val="18"/>
              </w:rPr>
              <w:t>Oktober 2003 – Mai 2005</w:t>
            </w:r>
          </w:p>
          <w:p w14:paraId="1B138A06" w14:textId="77777777" w:rsidR="00C76D74" w:rsidRDefault="00000000">
            <w:pPr>
              <w:spacing w:before="30" w:after="30"/>
              <w:ind w:left="200" w:hanging="200"/>
            </w:pPr>
            <w:r>
              <w:rPr>
                <w:color w:val="C9A84C"/>
                <w:sz w:val="19"/>
                <w:szCs w:val="19"/>
              </w:rPr>
              <w:t xml:space="preserve">▸  </w:t>
            </w:r>
            <w:r>
              <w:rPr>
                <w:sz w:val="19"/>
                <w:szCs w:val="19"/>
              </w:rPr>
              <w:t>Beratung von DAX-30-Klienten in den Bereichen Operations, Turnaround und Post-Merger Integration</w:t>
            </w:r>
          </w:p>
          <w:p w14:paraId="57A2B775" w14:textId="77777777" w:rsidR="00C76D74" w:rsidRDefault="00000000">
            <w:pPr>
              <w:spacing w:before="30" w:after="30"/>
              <w:ind w:left="200" w:hanging="200"/>
            </w:pPr>
            <w:r>
              <w:rPr>
                <w:color w:val="C9A84C"/>
                <w:sz w:val="19"/>
                <w:szCs w:val="19"/>
              </w:rPr>
              <w:t xml:space="preserve">▸  </w:t>
            </w:r>
            <w:r>
              <w:rPr>
                <w:sz w:val="19"/>
                <w:szCs w:val="19"/>
              </w:rPr>
              <w:t>Entwicklung eines Kostenoptimierungsprogramms für einen Automobilzulieferer (Einsparung: 22 Mio. €/Jahr)</w:t>
            </w:r>
          </w:p>
          <w:p w14:paraId="1864F4F3" w14:textId="77777777" w:rsidR="00C76D74" w:rsidRDefault="00C76D74">
            <w:pPr>
              <w:spacing w:after="80"/>
            </w:pPr>
          </w:p>
          <w:p w14:paraId="7415C1E6" w14:textId="77777777" w:rsidR="00C76D74" w:rsidRDefault="00000000">
            <w:pPr>
              <w:pBdr>
                <w:bottom w:val="single" w:sz="8" w:space="28" w:color="C9A84C"/>
              </w:pBdr>
              <w:spacing w:before="200" w:after="60"/>
            </w:pPr>
            <w:r>
              <w:rPr>
                <w:b/>
                <w:bCs/>
                <w:color w:val="1B2D4F"/>
                <w:sz w:val="24"/>
                <w:szCs w:val="24"/>
              </w:rPr>
              <w:lastRenderedPageBreak/>
              <w:t>AUFSICHTSRATSMANDATE &amp; BEIRÄTE</w:t>
            </w:r>
          </w:p>
          <w:p w14:paraId="01BC9A88" w14:textId="77777777" w:rsidR="00C76D74" w:rsidRDefault="00000000">
            <w:pPr>
              <w:spacing w:before="60" w:after="40"/>
              <w:ind w:left="200"/>
            </w:pPr>
            <w:r>
              <w:rPr>
                <w:color w:val="C9A84C"/>
                <w:sz w:val="19"/>
                <w:szCs w:val="19"/>
              </w:rPr>
              <w:t xml:space="preserve">▸  </w:t>
            </w:r>
            <w:r>
              <w:t>Mitglied des Aufsichtsrats – BioTechFuture AG, Berlin (seit 2020)</w:t>
            </w:r>
          </w:p>
          <w:p w14:paraId="3B80FE31" w14:textId="77777777" w:rsidR="00C76D74" w:rsidRDefault="00000000">
            <w:pPr>
              <w:spacing w:before="60" w:after="40"/>
              <w:ind w:left="200"/>
            </w:pPr>
            <w:r>
              <w:rPr>
                <w:color w:val="C9A84C"/>
                <w:sz w:val="19"/>
                <w:szCs w:val="19"/>
              </w:rPr>
              <w:t xml:space="preserve">▸  </w:t>
            </w:r>
            <w:r>
              <w:t>Beirat – Mittelstandsfonds DACH, Frankfurt (seit 2019)</w:t>
            </w:r>
          </w:p>
          <w:p w14:paraId="5EA46CC7" w14:textId="77777777" w:rsidR="00C76D74" w:rsidRDefault="00000000">
            <w:pPr>
              <w:spacing w:before="60" w:after="40"/>
              <w:ind w:left="200"/>
            </w:pPr>
            <w:r>
              <w:rPr>
                <w:color w:val="C9A84C"/>
                <w:sz w:val="19"/>
                <w:szCs w:val="19"/>
              </w:rPr>
              <w:t xml:space="preserve">▸  </w:t>
            </w:r>
            <w:r>
              <w:t>Industrie-Beirat – Technische Universität Aachen, Lehrstuhl Produktionsmanagement (seit 2022)</w:t>
            </w:r>
          </w:p>
        </w:tc>
      </w:tr>
    </w:tbl>
    <w:p w14:paraId="16370ECB" w14:textId="77777777" w:rsidR="007F49B6" w:rsidRDefault="007F49B6"/>
    <w:sectPr w:rsidR="007F49B6" w:rsidSect="00585A08">
      <w:pgSz w:w="11906" w:h="16838"/>
      <w:pgMar w:top="426" w:right="720" w:bottom="284"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BF0803"/>
    <w:multiLevelType w:val="hybridMultilevel"/>
    <w:tmpl w:val="420E78A2"/>
    <w:lvl w:ilvl="0" w:tplc="604E18C4">
      <w:start w:val="1"/>
      <w:numFmt w:val="bullet"/>
      <w:lvlText w:val="●"/>
      <w:lvlJc w:val="left"/>
      <w:pPr>
        <w:ind w:left="720" w:hanging="360"/>
      </w:pPr>
    </w:lvl>
    <w:lvl w:ilvl="1" w:tplc="899A3C86">
      <w:start w:val="1"/>
      <w:numFmt w:val="bullet"/>
      <w:lvlText w:val="○"/>
      <w:lvlJc w:val="left"/>
      <w:pPr>
        <w:ind w:left="1440" w:hanging="360"/>
      </w:pPr>
    </w:lvl>
    <w:lvl w:ilvl="2" w:tplc="323ED8C0">
      <w:start w:val="1"/>
      <w:numFmt w:val="bullet"/>
      <w:lvlText w:val="■"/>
      <w:lvlJc w:val="left"/>
      <w:pPr>
        <w:ind w:left="2160" w:hanging="360"/>
      </w:pPr>
    </w:lvl>
    <w:lvl w:ilvl="3" w:tplc="E3362144">
      <w:start w:val="1"/>
      <w:numFmt w:val="bullet"/>
      <w:lvlText w:val="●"/>
      <w:lvlJc w:val="left"/>
      <w:pPr>
        <w:ind w:left="2880" w:hanging="360"/>
      </w:pPr>
    </w:lvl>
    <w:lvl w:ilvl="4" w:tplc="990AAC8C">
      <w:start w:val="1"/>
      <w:numFmt w:val="bullet"/>
      <w:lvlText w:val="○"/>
      <w:lvlJc w:val="left"/>
      <w:pPr>
        <w:ind w:left="3600" w:hanging="360"/>
      </w:pPr>
    </w:lvl>
    <w:lvl w:ilvl="5" w:tplc="F82A12EE">
      <w:start w:val="1"/>
      <w:numFmt w:val="bullet"/>
      <w:lvlText w:val="■"/>
      <w:lvlJc w:val="left"/>
      <w:pPr>
        <w:ind w:left="4320" w:hanging="360"/>
      </w:pPr>
    </w:lvl>
    <w:lvl w:ilvl="6" w:tplc="A00A27F4">
      <w:start w:val="1"/>
      <w:numFmt w:val="bullet"/>
      <w:lvlText w:val="●"/>
      <w:lvlJc w:val="left"/>
      <w:pPr>
        <w:ind w:left="5040" w:hanging="360"/>
      </w:pPr>
    </w:lvl>
    <w:lvl w:ilvl="7" w:tplc="0AB4E8A0">
      <w:start w:val="1"/>
      <w:numFmt w:val="bullet"/>
      <w:lvlText w:val="●"/>
      <w:lvlJc w:val="left"/>
      <w:pPr>
        <w:ind w:left="5760" w:hanging="360"/>
      </w:pPr>
    </w:lvl>
    <w:lvl w:ilvl="8" w:tplc="DAFC7F94">
      <w:start w:val="1"/>
      <w:numFmt w:val="bullet"/>
      <w:lvlText w:val="●"/>
      <w:lvlJc w:val="left"/>
      <w:pPr>
        <w:ind w:left="6480" w:hanging="360"/>
      </w:pPr>
    </w:lvl>
  </w:abstractNum>
  <w:num w:numId="1" w16cid:durableId="15679141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6D74"/>
    <w:rsid w:val="00585A08"/>
    <w:rsid w:val="007F49B6"/>
    <w:rsid w:val="00C76D74"/>
    <w:rsid w:val="00D7158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D5D24"/>
  <w15:docId w15:val="{FCACF65D-ADF8-4E2E-88EA-DE4D8ADE9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uiPriority w:val="9"/>
    <w:qFormat/>
    <w:pPr>
      <w:outlineLvl w:val="0"/>
    </w:pPr>
    <w:rPr>
      <w:color w:val="2E74B5"/>
      <w:sz w:val="32"/>
      <w:szCs w:val="32"/>
    </w:rPr>
  </w:style>
  <w:style w:type="paragraph" w:styleId="berschrift2">
    <w:name w:val="heading 2"/>
    <w:uiPriority w:val="9"/>
    <w:semiHidden/>
    <w:unhideWhenUsed/>
    <w:qFormat/>
    <w:pPr>
      <w:outlineLvl w:val="1"/>
    </w:pPr>
    <w:rPr>
      <w:color w:val="2E74B5"/>
      <w:sz w:val="26"/>
      <w:szCs w:val="26"/>
    </w:rPr>
  </w:style>
  <w:style w:type="paragraph" w:styleId="berschrift3">
    <w:name w:val="heading 3"/>
    <w:uiPriority w:val="9"/>
    <w:semiHidden/>
    <w:unhideWhenUsed/>
    <w:qFormat/>
    <w:pPr>
      <w:outlineLvl w:val="2"/>
    </w:pPr>
    <w:rPr>
      <w:color w:val="1F4D78"/>
      <w:sz w:val="24"/>
      <w:szCs w:val="24"/>
    </w:rPr>
  </w:style>
  <w:style w:type="paragraph" w:styleId="berschrift4">
    <w:name w:val="heading 4"/>
    <w:uiPriority w:val="9"/>
    <w:semiHidden/>
    <w:unhideWhenUsed/>
    <w:qFormat/>
    <w:pPr>
      <w:outlineLvl w:val="3"/>
    </w:pPr>
    <w:rPr>
      <w:i/>
      <w:iCs/>
      <w:color w:val="2E74B5"/>
    </w:rPr>
  </w:style>
  <w:style w:type="paragraph" w:styleId="berschrift5">
    <w:name w:val="heading 5"/>
    <w:uiPriority w:val="9"/>
    <w:semiHidden/>
    <w:unhideWhenUsed/>
    <w:qFormat/>
    <w:pPr>
      <w:outlineLvl w:val="4"/>
    </w:pPr>
    <w:rPr>
      <w:color w:val="2E74B5"/>
    </w:rPr>
  </w:style>
  <w:style w:type="paragraph" w:styleId="berschrift6">
    <w:name w:val="heading 6"/>
    <w:uiPriority w:val="9"/>
    <w:semiHidden/>
    <w:unhideWhenUsed/>
    <w:qFormat/>
    <w:pPr>
      <w:outlineLvl w:val="5"/>
    </w:pPr>
    <w:rPr>
      <w:color w:val="1F4D7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uiPriority w:val="10"/>
    <w:qFormat/>
    <w:rPr>
      <w:sz w:val="56"/>
      <w:szCs w:val="56"/>
    </w:rPr>
  </w:style>
  <w:style w:type="paragraph" w:customStyle="1" w:styleId="Fett1">
    <w:name w:val="Fett1"/>
    <w:qFormat/>
    <w:rPr>
      <w:b/>
      <w:bCs/>
    </w:rPr>
  </w:style>
  <w:style w:type="paragraph" w:styleId="Listenabsatz">
    <w:name w:val="List Paragraph"/>
    <w:qFormat/>
  </w:style>
  <w:style w:type="character" w:styleId="Hyperlink">
    <w:name w:val="Hyperlink"/>
    <w:uiPriority w:val="99"/>
    <w:unhideWhenUsed/>
    <w:rPr>
      <w:color w:val="0563C1"/>
      <w:u w:val="single"/>
    </w:rPr>
  </w:style>
  <w:style w:type="character" w:styleId="Funotenzeichen">
    <w:name w:val="footnote reference"/>
    <w:uiPriority w:val="99"/>
    <w:semiHidden/>
    <w:unhideWhenUsed/>
    <w:rPr>
      <w:vertAlign w:val="superscript"/>
    </w:rPr>
  </w:style>
  <w:style w:type="paragraph" w:styleId="Funotentext">
    <w:name w:val="footnote text"/>
    <w:link w:val="FunotentextZchn"/>
    <w:uiPriority w:val="99"/>
    <w:semiHidden/>
    <w:unhideWhenUsed/>
  </w:style>
  <w:style w:type="character" w:customStyle="1" w:styleId="FunotentextZchn">
    <w:name w:val="Fußnotentext Zchn"/>
    <w:link w:val="Funotentext"/>
    <w:uiPriority w:val="99"/>
    <w:semiHidden/>
    <w:unhideWhenUsed/>
    <w:rPr>
      <w:sz w:val="20"/>
      <w:szCs w:val="20"/>
    </w:rPr>
  </w:style>
  <w:style w:type="character" w:styleId="Endnotenzeichen">
    <w:name w:val="endnote reference"/>
    <w:uiPriority w:val="99"/>
    <w:semiHidden/>
    <w:unhideWhenUsed/>
    <w:rPr>
      <w:vertAlign w:val="superscript"/>
    </w:rPr>
  </w:style>
  <w:style w:type="paragraph" w:styleId="Endnotentext">
    <w:name w:val="endnote text"/>
    <w:link w:val="EndnotentextZchn"/>
    <w:uiPriority w:val="99"/>
    <w:semiHidden/>
    <w:unhideWhenUsed/>
  </w:style>
  <w:style w:type="character" w:customStyle="1" w:styleId="EndnotentextZchn">
    <w:name w:val="Endnotentext Zchn"/>
    <w:link w:val="Endnoten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464</Words>
  <Characters>2926</Characters>
  <Application>Microsoft Office Word</Application>
  <DocSecurity>0</DocSecurity>
  <Lines>24</Lines>
  <Paragraphs>6</Paragraphs>
  <ScaleCrop>false</ScaleCrop>
  <Company/>
  <LinksUpToDate>false</LinksUpToDate>
  <CharactersWithSpaces>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Sergio Jiménez Canales</cp:lastModifiedBy>
  <cp:revision>3</cp:revision>
  <dcterms:created xsi:type="dcterms:W3CDTF">2026-05-19T05:42:00Z</dcterms:created>
  <dcterms:modified xsi:type="dcterms:W3CDTF">2026-05-19T06:42:00Z</dcterms:modified>
</cp:coreProperties>
</file>