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8406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700"/>
              <w:left w:type="dxa" w:w="450"/>
              <w:bottom w:type="dxa" w:w="800"/>
              <w:right w:type="dxa" w:w="450"/>
            </w:tcMar>
          </w:tcPr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5D7A8A"/>
                <w:sz w:val="120"/>
                <w:szCs w:val="120"/>
              </w:rPr>
              <w:t xml:space="preserve">◯</w:t>
            </w:r>
          </w:p>
          <w:p>
            <w:pPr>
              <w:spacing w:after="34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D7A8A"/>
                <w:sz w:val="16"/>
                <w:szCs w:val="16"/>
              </w:rPr>
              <w:t xml:space="preserve">Ihr Foto</w:t>
            </w:r>
          </w:p>
          <w:p>
            <w:pPr>
              <w:pBdr>
                <w:bottom w:val="single" w:color="5D7A8A" w:sz="6" w:space="4"/>
              </w:pBdr>
              <w:spacing w:after="100" w:before="280"/>
            </w:pPr>
            <w:r>
              <w:rPr>
                <w:rFonts w:ascii="Georgia" w:cs="Georgia" w:eastAsia="Georgia" w:hAnsi="Georgia"/>
                <w:b/>
                <w:bCs/>
                <w:color w:val="FFFFFF"/>
                <w:spacing w:val="50"/>
                <w:sz w:val="19"/>
                <w:szCs w:val="19"/>
              </w:rPr>
              <w:t xml:space="preserve">SOFTWARE &amp; TOOLS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autoDMS – sehr gute Kenntnisse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DAT / Eurotax – sehr gute Kenntnisse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MS Office – sehr gute Kenntnisse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Salesforce CRM – gute Kenntnisse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CROSS-Automotive – gute Kenntnisse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pBdr>
                <w:bottom w:val="single" w:color="5D7A8A" w:sz="6" w:space="4"/>
              </w:pBdr>
              <w:spacing w:after="100" w:before="280"/>
            </w:pPr>
            <w:r>
              <w:rPr>
                <w:rFonts w:ascii="Georgia" w:cs="Georgia" w:eastAsia="Georgia" w:hAnsi="Georgia"/>
                <w:b/>
                <w:bCs/>
                <w:color w:val="FFFFFF"/>
                <w:spacing w:val="50"/>
                <w:sz w:val="19"/>
                <w:szCs w:val="19"/>
              </w:rPr>
              <w:t xml:space="preserve">SPRACHEN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Deutsch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D7A8A"/>
                <w:sz w:val="15"/>
                <w:szCs w:val="15"/>
              </w:rPr>
              <w:t xml:space="preserve">Muttersprache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Englisch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5D7A8A"/>
                <w:sz w:val="18"/>
                <w:szCs w:val="18"/>
              </w:rPr>
              <w:t xml:space="preserve">□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D7A8A"/>
                <w:sz w:val="15"/>
                <w:szCs w:val="15"/>
              </w:rPr>
              <w:t xml:space="preserve">Verhandlungssicher (C1)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Türkisch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4AC0D"/>
                <w:sz w:val="18"/>
                <w:szCs w:val="18"/>
              </w:rPr>
              <w:t xml:space="preserve"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5D7A8A"/>
                <w:sz w:val="18"/>
                <w:szCs w:val="18"/>
              </w:rPr>
              <w:t xml:space="preserve"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5D7A8A"/>
                <w:sz w:val="18"/>
                <w:szCs w:val="18"/>
              </w:rPr>
              <w:t xml:space="preserve">□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5D7A8A"/>
                <w:sz w:val="15"/>
                <w:szCs w:val="15"/>
              </w:rPr>
              <w:t xml:space="preserve">Gute Kenntnisse (B1)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pBdr>
                <w:bottom w:val="single" w:color="5D7A8A" w:sz="6" w:space="4"/>
              </w:pBdr>
              <w:spacing w:after="100" w:before="280"/>
            </w:pPr>
            <w:r>
              <w:rPr>
                <w:rFonts w:ascii="Georgia" w:cs="Georgia" w:eastAsia="Georgia" w:hAnsi="Georgia"/>
                <w:b/>
                <w:bCs/>
                <w:color w:val="FFFFFF"/>
                <w:spacing w:val="50"/>
                <w:sz w:val="19"/>
                <w:szCs w:val="19"/>
              </w:rPr>
              <w:t xml:space="preserve">PERSÖNLICHE STÄRKEN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Verhandlungsgeschick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Überzeugungskraft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Kundenorientierung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Abschlussstärke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Belastbarkeit &amp; Ehrgeiz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pBdr>
                <w:bottom w:val="single" w:color="5D7A8A" w:sz="6" w:space="4"/>
              </w:pBdr>
              <w:spacing w:after="100" w:before="280"/>
            </w:pPr>
            <w:r>
              <w:rPr>
                <w:rFonts w:ascii="Georgia" w:cs="Georgia" w:eastAsia="Georgia" w:hAnsi="Georgia"/>
                <w:b/>
                <w:bCs/>
                <w:color w:val="FFFFFF"/>
                <w:spacing w:val="50"/>
                <w:sz w:val="19"/>
                <w:szCs w:val="19"/>
              </w:rPr>
              <w:t xml:space="preserve">INTERESSEN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Automobilmessen &amp; Neuheiten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Motorsport &amp; Formel 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Markttrends E-Mobilität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Golf &amp; Networking</w:t>
            </w:r>
          </w:p>
        </w:tc>
        <w:tc>
          <w:tcPr>
            <w:tcW w:type="dxa" w:w="84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700"/>
              <w:left w:type="dxa" w:w="700"/>
              <w:bottom w:type="dxa" w:w="800"/>
              <w:right w:type="dxa" w:w="70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1A252F"/>
                <w:sz w:val="80"/>
                <w:szCs w:val="80"/>
              </w:rPr>
              <w:t xml:space="preserve">Felix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2C3E50"/>
                <w:sz w:val="80"/>
                <w:szCs w:val="80"/>
              </w:rPr>
              <w:t xml:space="preserve">Hartmann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0160 9923 4471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f.hartmann@automail.de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Königsallee 18, 40212 Düsseldorf</w:t>
            </w:r>
          </w:p>
          <w:p>
            <w:pPr>
              <w:pBdr>
                <w:bottom w:val="single" w:color="2C3E50" w:sz="8" w:space="4"/>
              </w:pBdr>
              <w:spacing w:after="120" w:before="300"/>
            </w:pPr>
            <w:r>
              <w:rPr>
                <w:rFonts w:ascii="Georgia" w:cs="Georgia" w:eastAsia="Georgia" w:hAnsi="Georgia"/>
                <w:b/>
                <w:bCs/>
                <w:color w:val="2C3E50"/>
                <w:spacing w:val="40"/>
                <w:sz w:val="22"/>
                <w:szCs w:val="22"/>
              </w:rPr>
              <w:t xml:space="preserve">PROFIL</w:t>
            </w:r>
          </w:p>
          <w:p>
            <w:pPr>
              <w:spacing w:after="80" w:before="60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Als leidenschaftlicher Automobilverkäufer mit über 11 Jahren Erfahrung im Neu- und Gebrauchtwagenverkauf bei Premiummarken verbinde ich fundiertes Produktwissen mit echtem Verkaufstalent und ausgeprägter Kundenorientierung. Meine Stärke liegt im Aufbau langfristiger Kundenbeziehungen und der konsequenten Überschreitung von Verkaufszielen. Den Wandel zur E-Mobilität sehe ich als Chance und bringe bereits umfangreiche Erfahrung in der Beratung zu Elektro- und Hybridfahrzeugen mit.</w:t>
            </w:r>
          </w:p>
          <w:p>
            <w:pPr>
              <w:pBdr>
                <w:bottom w:val="single" w:color="2C3E50" w:sz="8" w:space="4"/>
              </w:pBdr>
              <w:spacing w:after="120" w:before="300"/>
            </w:pPr>
            <w:r>
              <w:rPr>
                <w:rFonts w:ascii="Georgia" w:cs="Georgia" w:eastAsia="Georgia" w:hAnsi="Georgia"/>
                <w:b/>
                <w:bCs/>
                <w:color w:val="2C3E50"/>
                <w:spacing w:val="40"/>
                <w:sz w:val="22"/>
                <w:szCs w:val="22"/>
              </w:rPr>
              <w:t xml:space="preserve">BERUFSERFAHRUNG</w:t>
            </w:r>
          </w:p>
          <w:p>
            <w:pPr>
              <w:spacing w:after="10" w:before="16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04/2017 – Aktuell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Autohaus Merkur GmbH (BMW / MINI)</w:t>
            </w: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  |  Düsseldorf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5D7A8A"/>
                <w:sz w:val="18"/>
                <w:szCs w:val="18"/>
              </w:rPr>
              <w:t xml:space="preserve">Senior Automobilverkäufer / Teamleitung Verkauf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Verkauf von Neu- und Gebrauchtwagen der Marken BMW und MINI – durchschnittlich 28 Fahrzeuge pro Monat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Überschreitung des Jahresverkaufsziels in 4 aufeinanderfolgenden Jahren um jeweils 15–22 %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Aufbau und Pflege eines persönlichen Kundenstamms von über 420 Stammkunden mit nachweislich hoher Wiederkaufrate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Beratung und Abschluss von Leasing-, Finanzierungs- und Versicherungsverträgen in Zusammenarbeit mit BMW Financial Services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Fachliche Leitung und Einarbeitung von 3 Junior-Verkäufern im Team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Auszeichnung als Verkaeufer des Jahres 2021 und 2023 auf Unternehmensebene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10" w:before="16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07/2013 – 03/2017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Volkswagen Zentrum Rhein-Ruhr</w:t>
            </w: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  |  Essen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5D7A8A"/>
                <w:sz w:val="18"/>
                <w:szCs w:val="18"/>
              </w:rPr>
              <w:t xml:space="preserve">Automobilverkäufer Neuwagenverkauf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Beratung und Verkauf von Neuwagen der Marken VW, Audi und Skoda an Privat- und Gewerbekunden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Selbstständige Begleitung des gesamten Verkaufsprozesses: Bedarfsanalyse, Probefahrt, Angebotserstellung, Vertragsabschluss und Fahrzeugübergabe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Aktive Nutzung von Salesforce CRM zur Leadpflege und Nachverfolgung von Interessenten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Teilnahme an regionalen Automobilmessen und Kundenevent-Organisationen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5" w:before="25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Steigerung der Kundenzufriedenheitsbewertungen im CSI um 18 Punkte innerhalb von zwei Jahren</w:t>
            </w:r>
          </w:p>
          <w:p>
            <w:pPr>
              <w:pBdr>
                <w:bottom w:val="single" w:color="2C3E50" w:sz="8" w:space="4"/>
              </w:pBdr>
              <w:spacing w:after="120" w:before="300"/>
            </w:pPr>
            <w:r>
              <w:rPr>
                <w:rFonts w:ascii="Georgia" w:cs="Georgia" w:eastAsia="Georgia" w:hAnsi="Georgia"/>
                <w:b/>
                <w:bCs/>
                <w:color w:val="2C3E50"/>
                <w:spacing w:val="40"/>
                <w:sz w:val="22"/>
                <w:szCs w:val="22"/>
              </w:rPr>
              <w:t xml:space="preserve">AUSBILDUNG</w:t>
            </w:r>
          </w:p>
          <w:p>
            <w:pPr>
              <w:spacing w:after="10" w:before="16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09/2010 – 07/2013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Autohaus Schüler GmbH (Ausbildungsbetrieb)</w:t>
            </w: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  |  Essen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8"/>
                <w:szCs w:val="18"/>
              </w:rPr>
              <w:t xml:space="preserve">Ausbildung zum Automobilkaufmann (IHK)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Berufsschule: Heinrich-Hertz-Berufskolleg, Essen  |  Abschluss: gut (1,9)</w:t>
            </w:r>
          </w:p>
          <w:p>
            <w:pPr>
              <w:pBdr>
                <w:bottom w:val="single" w:color="2C3E50" w:sz="8" w:space="4"/>
              </w:pBdr>
              <w:spacing w:after="120" w:before="300"/>
            </w:pPr>
            <w:r>
              <w:rPr>
                <w:rFonts w:ascii="Georgia" w:cs="Georgia" w:eastAsia="Georgia" w:hAnsi="Georgia"/>
                <w:b/>
                <w:bCs/>
                <w:color w:val="2C3E50"/>
                <w:spacing w:val="40"/>
                <w:sz w:val="22"/>
                <w:szCs w:val="22"/>
              </w:rPr>
              <w:t xml:space="preserve">WEITERBILDUNGEN &amp; ZERTIFIKATE</w:t>
            </w:r>
          </w:p>
          <w:tbl>
            <w:tblPr>
              <w:tblW w:type="dxa" w:w="70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00"/>
              <w:gridCol w:w="5606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7"/>
                      <w:szCs w:val="17"/>
                    </w:rPr>
                    <w:t xml:space="preserve">2024</w:t>
                  </w:r>
                </w:p>
              </w:tc>
              <w:tc>
                <w:tcPr>
                  <w:tcW w:type="dxa" w:w="5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C1C1C"/>
                      <w:sz w:val="17"/>
                      <w:szCs w:val="17"/>
                    </w:rPr>
                    <w:t xml:space="preserve">E-Mobilität &amp; Ladeinfrastruktur – Produktschulung BMW iX / i4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5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C1C1C"/>
                      <w:sz w:val="17"/>
                      <w:szCs w:val="17"/>
                    </w:rPr>
                    <w:t xml:space="preserve">Zertifizierter Verkaufsberater BMW Excellence Programme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5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C1C1C"/>
                      <w:sz w:val="17"/>
                      <w:szCs w:val="17"/>
                    </w:rPr>
                    <w:t xml:space="preserve">Verhandlungsführung &amp; Abschlusstechniken – Verkaufstraining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7"/>
                      <w:szCs w:val="17"/>
                    </w:rPr>
                    <w:t xml:space="preserve">2021</w:t>
                  </w:r>
                </w:p>
              </w:tc>
              <w:tc>
                <w:tcPr>
                  <w:tcW w:type="dxa" w:w="5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C1C1C"/>
                      <w:sz w:val="17"/>
                      <w:szCs w:val="17"/>
                    </w:rPr>
                    <w:t xml:space="preserve">Finanzierungsberatung &amp; Leasing – Aufbaukurs BMW Financial Services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17"/>
                      <w:szCs w:val="17"/>
                    </w:rPr>
                    <w:t xml:space="preserve">2019</w:t>
                  </w:r>
                </w:p>
              </w:tc>
              <w:tc>
                <w:tcPr>
                  <w:tcW w:type="dxa" w:w="5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C1C1C"/>
                      <w:sz w:val="17"/>
                      <w:szCs w:val="17"/>
                    </w:rPr>
                    <w:t xml:space="preserve">Kundenbindungsmanagement &amp; CRM-Optimierung</w:t>
                  </w:r>
                </w:p>
              </w:tc>
            </w:tr>
          </w:tbl>
          <w:p>
            <w:pPr>
              <w:spacing w:after="400" w:before="0"/>
            </w:pPr>
            <w:r>
              <w:t xml:space="preserve"/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Düsseldorf, den 15. Mai 2026</w:t>
            </w:r>
          </w:p>
          <w:p>
            <w:r>
              <w:rPr>
                <w:rFonts w:ascii="Georgia" w:cs="Georgia" w:eastAsia="Georgia" w:hAnsi="Georgia"/>
                <w:i/>
                <w:iCs/>
                <w:color w:val="4A4A4A"/>
                <w:sz w:val="18"/>
                <w:szCs w:val="18"/>
              </w:rPr>
              <w:t xml:space="preserve">Felix Hartmann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  <w:rPr>
        <w:rFonts w:ascii="Calibri" w:cs="Calibri" w:eastAsia="Calibri" w:hAnsi="Calibri"/>
        <w:color w:val="D4AC0D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  <w:rPr>
        <w:rFonts w:ascii="Calibri" w:cs="Calibri" w:eastAsia="Calibri" w:hAnsi="Calibri"/>
        <w:color w:val="2C3E5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2026-05-15T11:25:28.706Z</dcterms:created>
  <dcterms:modified xsi:type="dcterms:W3CDTF">2026-05-15T11:25:28.733Z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