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6"/>
        <w:gridCol w:w="8881"/>
      </w:tblGrid>
      <w:tr w:rsidR="00F17CF5" w14:paraId="4C6E6F3D" w14:textId="77777777" w:rsidTr="001752F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1E8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27548F43" w14:textId="77777777" w:rsidR="00F17CF5" w:rsidRDefault="00000000">
            <w:pPr>
              <w:spacing w:before="200" w:after="200"/>
              <w:jc w:val="center"/>
            </w:pPr>
            <w:r>
              <w:rPr>
                <w:b/>
                <w:bCs/>
                <w:color w:val="1B4D3E"/>
                <w:sz w:val="96"/>
                <w:szCs w:val="96"/>
              </w:rPr>
              <w:t>MW</w:t>
            </w:r>
          </w:p>
          <w:p w14:paraId="7208C292" w14:textId="77777777" w:rsidR="00F17CF5" w:rsidRDefault="00000000">
            <w:pPr>
              <w:pBdr>
                <w:bottom w:val="single" w:sz="8" w:space="6" w:color="C9A961"/>
              </w:pBdr>
              <w:spacing w:after="200"/>
              <w:jc w:val="center"/>
            </w:pPr>
            <w:r>
              <w:rPr>
                <w:i/>
                <w:iCs/>
                <w:color w:val="6B6B6B"/>
              </w:rPr>
              <w:t>Buchhalter</w:t>
            </w:r>
          </w:p>
          <w:p w14:paraId="551D54F2" w14:textId="77777777" w:rsidR="00F17CF5" w:rsidRDefault="00000000">
            <w:pPr>
              <w:pBdr>
                <w:bottom w:val="single" w:sz="8" w:space="4" w:color="1B4D3E"/>
              </w:pBdr>
              <w:spacing w:before="280" w:after="120"/>
            </w:pPr>
            <w:r>
              <w:rPr>
                <w:b/>
                <w:bCs/>
                <w:color w:val="1B4D3E"/>
                <w:sz w:val="22"/>
                <w:szCs w:val="22"/>
              </w:rPr>
              <w:t>PERSÖNLICHE DATEN</w:t>
            </w:r>
          </w:p>
          <w:p w14:paraId="6150B622" w14:textId="77777777" w:rsidR="00F17CF5" w:rsidRDefault="00000000">
            <w:pPr>
              <w:spacing w:before="2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Geburtsdatum:</w:t>
            </w:r>
          </w:p>
          <w:p w14:paraId="7068179B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22.07.1988</w:t>
            </w:r>
          </w:p>
          <w:p w14:paraId="645E8CAB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Geburtsort:</w:t>
            </w:r>
          </w:p>
          <w:p w14:paraId="1A47639A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Frankfurt am Main</w:t>
            </w:r>
          </w:p>
          <w:p w14:paraId="3FC4B881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Familienstand:</w:t>
            </w:r>
          </w:p>
          <w:p w14:paraId="78E6F11F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verheiratet, ein Kind</w:t>
            </w:r>
          </w:p>
          <w:p w14:paraId="4EBD1E4F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Nationalität:</w:t>
            </w:r>
          </w:p>
          <w:p w14:paraId="484093D7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deutsch</w:t>
            </w:r>
          </w:p>
          <w:p w14:paraId="70748275" w14:textId="77777777" w:rsidR="00F17CF5" w:rsidRDefault="00000000">
            <w:pPr>
              <w:pBdr>
                <w:bottom w:val="single" w:sz="8" w:space="4" w:color="1B4D3E"/>
              </w:pBdr>
              <w:spacing w:before="280" w:after="120"/>
            </w:pPr>
            <w:r>
              <w:rPr>
                <w:b/>
                <w:bCs/>
                <w:color w:val="1B4D3E"/>
                <w:sz w:val="22"/>
                <w:szCs w:val="22"/>
              </w:rPr>
              <w:t>KONTAKT</w:t>
            </w:r>
          </w:p>
          <w:p w14:paraId="40BDBD29" w14:textId="77777777" w:rsidR="00F17CF5" w:rsidRDefault="00000000">
            <w:pPr>
              <w:spacing w:before="2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Adresse:</w:t>
            </w:r>
          </w:p>
          <w:p w14:paraId="4A0EB512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Goethestraße 17</w:t>
            </w:r>
          </w:p>
          <w:p w14:paraId="314551F3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60313 Frankfurt am Main</w:t>
            </w:r>
          </w:p>
          <w:p w14:paraId="4B65AC05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Telefon:</w:t>
            </w:r>
          </w:p>
          <w:p w14:paraId="1685265E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0162 9876543</w:t>
            </w:r>
          </w:p>
          <w:p w14:paraId="0D1DA2DE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E-Mail:</w:t>
            </w:r>
          </w:p>
          <w:p w14:paraId="44FDD366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m.weber@email.de</w:t>
            </w:r>
          </w:p>
          <w:p w14:paraId="58A3C519" w14:textId="77777777" w:rsidR="00F17CF5" w:rsidRDefault="00000000">
            <w:pPr>
              <w:spacing w:before="80" w:after="20"/>
            </w:pPr>
            <w:r>
              <w:rPr>
                <w:b/>
                <w:bCs/>
                <w:color w:val="1B4D3E"/>
                <w:sz w:val="18"/>
                <w:szCs w:val="18"/>
              </w:rPr>
              <w:t>LinkedIn:</w:t>
            </w:r>
          </w:p>
          <w:p w14:paraId="1DCD3024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linkedin.com/in/m-weber</w:t>
            </w:r>
          </w:p>
          <w:p w14:paraId="63BCA9AC" w14:textId="77777777" w:rsidR="00F17CF5" w:rsidRDefault="00000000">
            <w:pPr>
              <w:pBdr>
                <w:bottom w:val="single" w:sz="8" w:space="4" w:color="1B4D3E"/>
              </w:pBdr>
              <w:spacing w:before="280" w:after="120"/>
            </w:pPr>
            <w:r>
              <w:rPr>
                <w:b/>
                <w:bCs/>
                <w:color w:val="1B4D3E"/>
                <w:sz w:val="22"/>
                <w:szCs w:val="22"/>
              </w:rPr>
              <w:t>FACHKENNTNISSE</w:t>
            </w:r>
          </w:p>
          <w:p w14:paraId="57C60818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DATEV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● </w:t>
            </w:r>
          </w:p>
          <w:p w14:paraId="63316E0A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SAP FI/CO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● </w:t>
            </w:r>
          </w:p>
          <w:p w14:paraId="7A574FFE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Lexware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</w:t>
            </w:r>
            <w:r>
              <w:rPr>
                <w:color w:val="D8D8D8"/>
                <w:sz w:val="22"/>
                <w:szCs w:val="22"/>
              </w:rPr>
              <w:t xml:space="preserve">● </w:t>
            </w:r>
          </w:p>
          <w:p w14:paraId="02A4C5BA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MS Excel (VBA)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● </w:t>
            </w:r>
          </w:p>
          <w:p w14:paraId="06422D31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HGB-Bilanzierung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● </w:t>
            </w:r>
          </w:p>
          <w:p w14:paraId="33CC6242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Umsatzsteuerrecht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</w:t>
            </w:r>
            <w:r>
              <w:rPr>
                <w:color w:val="D8D8D8"/>
                <w:sz w:val="22"/>
                <w:szCs w:val="22"/>
              </w:rPr>
              <w:t xml:space="preserve">● </w:t>
            </w:r>
          </w:p>
          <w:p w14:paraId="42E243F3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IFRS-Grundlagen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</w:t>
            </w:r>
            <w:r>
              <w:rPr>
                <w:color w:val="D8D8D8"/>
                <w:sz w:val="22"/>
                <w:szCs w:val="22"/>
              </w:rPr>
              <w:t xml:space="preserve">● ● </w:t>
            </w:r>
          </w:p>
          <w:p w14:paraId="7D55A4E4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Lohnbuchhaltung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</w:t>
            </w:r>
            <w:r>
              <w:rPr>
                <w:color w:val="D8D8D8"/>
                <w:sz w:val="22"/>
                <w:szCs w:val="22"/>
              </w:rPr>
              <w:t xml:space="preserve">● </w:t>
            </w:r>
          </w:p>
          <w:p w14:paraId="59A3BEA8" w14:textId="77777777" w:rsidR="00F17CF5" w:rsidRDefault="00000000">
            <w:pPr>
              <w:pBdr>
                <w:bottom w:val="single" w:sz="8" w:space="4" w:color="1B4D3E"/>
              </w:pBdr>
              <w:spacing w:before="280" w:after="120"/>
            </w:pPr>
            <w:r>
              <w:rPr>
                <w:b/>
                <w:bCs/>
                <w:color w:val="1B4D3E"/>
                <w:sz w:val="22"/>
                <w:szCs w:val="22"/>
              </w:rPr>
              <w:t>SPRACHEN</w:t>
            </w:r>
          </w:p>
          <w:p w14:paraId="79D6085F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Deutsch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● </w:t>
            </w:r>
          </w:p>
          <w:p w14:paraId="230C2072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Englisch (B2)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● ● </w:t>
            </w:r>
            <w:r>
              <w:rPr>
                <w:color w:val="D8D8D8"/>
                <w:sz w:val="22"/>
                <w:szCs w:val="22"/>
              </w:rPr>
              <w:t xml:space="preserve">● </w:t>
            </w:r>
          </w:p>
          <w:p w14:paraId="234579AD" w14:textId="77777777" w:rsidR="00F17CF5" w:rsidRDefault="00000000">
            <w:pPr>
              <w:tabs>
                <w:tab w:val="right" w:pos="3040"/>
              </w:tabs>
              <w:spacing w:before="60" w:after="60"/>
            </w:pPr>
            <w:r>
              <w:rPr>
                <w:color w:val="2B2B2B"/>
                <w:sz w:val="17"/>
                <w:szCs w:val="17"/>
              </w:rPr>
              <w:t>Spanisch (A2)</w:t>
            </w:r>
            <w:r>
              <w:rPr>
                <w:sz w:val="17"/>
                <w:szCs w:val="17"/>
              </w:rPr>
              <w:tab/>
            </w:r>
            <w:r>
              <w:rPr>
                <w:color w:val="1B4D3E"/>
                <w:sz w:val="22"/>
                <w:szCs w:val="22"/>
              </w:rPr>
              <w:t xml:space="preserve">● ● </w:t>
            </w:r>
            <w:r>
              <w:rPr>
                <w:color w:val="D8D8D8"/>
                <w:sz w:val="22"/>
                <w:szCs w:val="22"/>
              </w:rPr>
              <w:t xml:space="preserve">● ● ● </w:t>
            </w:r>
          </w:p>
          <w:p w14:paraId="3B59A788" w14:textId="77777777" w:rsidR="00F17CF5" w:rsidRDefault="00000000">
            <w:pPr>
              <w:pBdr>
                <w:bottom w:val="single" w:sz="8" w:space="4" w:color="1B4D3E"/>
              </w:pBdr>
              <w:spacing w:before="280" w:after="120"/>
            </w:pPr>
            <w:r>
              <w:rPr>
                <w:b/>
                <w:bCs/>
                <w:color w:val="1B4D3E"/>
                <w:sz w:val="22"/>
                <w:szCs w:val="22"/>
              </w:rPr>
              <w:t>STÄRKEN</w:t>
            </w:r>
          </w:p>
          <w:p w14:paraId="797CE365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Sorgfältige Arbeitsweise</w:t>
            </w:r>
          </w:p>
          <w:p w14:paraId="472C9579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Zahlenaffinität</w:t>
            </w:r>
          </w:p>
          <w:p w14:paraId="146F1F7F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Diskretion &amp; Verschwiegenheit</w:t>
            </w:r>
          </w:p>
          <w:p w14:paraId="06180B21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Teamfähigkeit</w:t>
            </w:r>
          </w:p>
          <w:p w14:paraId="636FA91C" w14:textId="77777777" w:rsidR="00F17CF5" w:rsidRDefault="00000000">
            <w:pPr>
              <w:spacing w:before="20" w:after="20"/>
            </w:pPr>
            <w:r>
              <w:rPr>
                <w:color w:val="2B2B2B"/>
                <w:sz w:val="18"/>
                <w:szCs w:val="18"/>
              </w:rPr>
              <w:t>Belastbarkeit</w:t>
            </w:r>
          </w:p>
        </w:tc>
        <w:tc>
          <w:tcPr>
            <w:tcW w:w="8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360" w:type="dxa"/>
              <w:right w:w="280" w:type="dxa"/>
            </w:tcMar>
          </w:tcPr>
          <w:p w14:paraId="4DB772E2" w14:textId="5B310F29" w:rsidR="00F17CF5" w:rsidRDefault="001752F7">
            <w:pPr>
              <w:spacing w:before="200" w:after="40"/>
            </w:pPr>
            <w:r>
              <w:rPr>
                <w:noProof/>
                <w:color w:val="2B2B2B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AC759EA" wp14:editId="36F66A49">
                  <wp:simplePos x="0" y="0"/>
                  <wp:positionH relativeFrom="column">
                    <wp:posOffset>3955415</wp:posOffset>
                  </wp:positionH>
                  <wp:positionV relativeFrom="paragraph">
                    <wp:posOffset>-171450</wp:posOffset>
                  </wp:positionV>
                  <wp:extent cx="1362075" cy="1434566"/>
                  <wp:effectExtent l="0" t="0" r="0" b="0"/>
                  <wp:wrapNone/>
                  <wp:docPr id="625206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18" cy="144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1B4D3E"/>
                <w:sz w:val="60"/>
                <w:szCs w:val="60"/>
              </w:rPr>
              <w:t>MICHAEL</w:t>
            </w:r>
          </w:p>
          <w:p w14:paraId="11BF2E88" w14:textId="77777777" w:rsidR="00F17CF5" w:rsidRDefault="00000000">
            <w:pPr>
              <w:spacing w:after="120"/>
            </w:pPr>
            <w:r>
              <w:rPr>
                <w:b/>
                <w:bCs/>
                <w:color w:val="2B2B2B"/>
                <w:sz w:val="60"/>
                <w:szCs w:val="60"/>
              </w:rPr>
              <w:t>WEBER</w:t>
            </w:r>
          </w:p>
          <w:p w14:paraId="6E68D67E" w14:textId="77777777" w:rsidR="00F17CF5" w:rsidRDefault="00000000">
            <w:pPr>
              <w:pBdr>
                <w:bottom w:val="single" w:sz="8" w:space="6" w:color="C9A961"/>
              </w:pBdr>
              <w:spacing w:after="200"/>
            </w:pPr>
            <w:r>
              <w:rPr>
                <w:color w:val="C9A961"/>
                <w:sz w:val="26"/>
                <w:szCs w:val="26"/>
              </w:rPr>
              <w:t>Bilanzbuchhalter (IHK)</w:t>
            </w:r>
          </w:p>
          <w:p w14:paraId="46F99DBA" w14:textId="77777777" w:rsidR="00F17CF5" w:rsidRDefault="00000000">
            <w:pPr>
              <w:pBdr>
                <w:bottom w:val="single" w:sz="12" w:space="4" w:color="C9A961"/>
              </w:pBdr>
              <w:spacing w:before="280" w:after="160"/>
            </w:pPr>
            <w:r>
              <w:rPr>
                <w:b/>
                <w:bCs/>
                <w:color w:val="1B4D3E"/>
                <w:sz w:val="26"/>
                <w:szCs w:val="26"/>
              </w:rPr>
              <w:t>KURZPROFIL</w:t>
            </w:r>
          </w:p>
          <w:p w14:paraId="7124CF72" w14:textId="77777777" w:rsidR="00F17CF5" w:rsidRDefault="00000000">
            <w:pPr>
              <w:spacing w:after="100"/>
              <w:jc w:val="both"/>
            </w:pPr>
            <w:r>
              <w:rPr>
                <w:color w:val="2B2B2B"/>
              </w:rPr>
              <w:t>Erfahrener Bilanzbuchhalter mit über 10 Jahren Praxis in der Finanz- und Lohnbuchhaltung mittelständischer Unternehmen. Fundierte Kenntnisse in der Erstellung von Monats-, Quartals- und Jahresabschlüssen nach HGB sowie sicherer Umgang mit DATEV und SAP FI/CO. Geschätzt für strukturierte Arbeitsweise, hohe Zuverlässigkeit und ausgeprägte Diskretion im Umgang mit sensiblen Finanzdaten.</w:t>
            </w:r>
          </w:p>
          <w:p w14:paraId="2C373151" w14:textId="77777777" w:rsidR="00F17CF5" w:rsidRDefault="00000000">
            <w:pPr>
              <w:pBdr>
                <w:bottom w:val="single" w:sz="12" w:space="4" w:color="C9A961"/>
              </w:pBdr>
              <w:spacing w:before="280" w:after="160"/>
            </w:pPr>
            <w:r>
              <w:rPr>
                <w:b/>
                <w:bCs/>
                <w:color w:val="1B4D3E"/>
                <w:sz w:val="26"/>
                <w:szCs w:val="26"/>
              </w:rPr>
              <w:t>BERUFSERFAHRUNG</w:t>
            </w:r>
          </w:p>
          <w:tbl>
            <w:tblPr>
              <w:tblW w:w="824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441"/>
            </w:tblGrid>
            <w:tr w:rsidR="00F17CF5" w14:paraId="704B4CE0" w14:textId="77777777" w:rsidTr="001752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5C6BAF4A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seit 05/2020</w:t>
                  </w:r>
                </w:p>
              </w:tc>
              <w:tc>
                <w:tcPr>
                  <w:tcW w:w="644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A3092EF" w14:textId="54D93666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Bilanzbuchhalter</w:t>
                  </w:r>
                </w:p>
                <w:p w14:paraId="2481A7A1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Hessen Industrie GmbH &amp; Co. KG, Frankfurt am Main</w:t>
                  </w:r>
                </w:p>
                <w:p w14:paraId="1D0885EF" w14:textId="77CCA1D4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Eigenverantwortliche Erstellung der Monats- und Jahresabschlüsse</w:t>
                  </w:r>
                </w:p>
                <w:p w14:paraId="6B06EF5F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Durchführung der Debitoren-, Kreditoren- und Anlagenbuchhaltung</w:t>
                  </w:r>
                </w:p>
                <w:p w14:paraId="041A0FA5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Vorbereitung und Begleitung von Betriebs- und Wirtschaftsprüfungen</w:t>
                  </w:r>
                </w:p>
                <w:p w14:paraId="76D6D16E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Erstellung der Umsatzsteuervoranmeldungen und ZM-Meldungen</w:t>
                  </w:r>
                </w:p>
                <w:p w14:paraId="280C05E8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Führung eines Teams von zwei Buchhaltungsassistenten</w:t>
                  </w:r>
                </w:p>
              </w:tc>
            </w:tr>
            <w:tr w:rsidR="00F17CF5" w14:paraId="1932A67A" w14:textId="77777777" w:rsidTr="001752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13D1250A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09/2015 – 04/2020</w:t>
                  </w:r>
                </w:p>
              </w:tc>
              <w:tc>
                <w:tcPr>
                  <w:tcW w:w="644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986A741" w14:textId="15D9AF91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Finanzbuchhalter</w:t>
                  </w:r>
                </w:p>
                <w:p w14:paraId="1DCB526A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Rhein-Main Logistik AG, Offenbach</w:t>
                  </w:r>
                </w:p>
                <w:p w14:paraId="1C257245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Laufende Finanzbuchhaltung mit DATEV Kanzlei-Rechnungswesen</w:t>
                  </w:r>
                </w:p>
                <w:p w14:paraId="639D78A9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Kontenabstimmung und Klärung offener Posten</w:t>
                  </w:r>
                </w:p>
                <w:p w14:paraId="2B2AE30E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Mitwirkung bei Quartals- und Jahresabschlüssen</w:t>
                  </w:r>
                </w:p>
                <w:p w14:paraId="13435578" w14:textId="362E9741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Lohnvorbereitung in Zusammenarbeit mit dem externen Steuerberater</w:t>
                  </w:r>
                </w:p>
              </w:tc>
            </w:tr>
            <w:tr w:rsidR="00F17CF5" w14:paraId="1BDA84E5" w14:textId="77777777" w:rsidTr="001752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7294D8B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08/2012 – 08/2015</w:t>
                  </w:r>
                </w:p>
              </w:tc>
              <w:tc>
                <w:tcPr>
                  <w:tcW w:w="644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690A251" w14:textId="5B628D9B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Steuerfachangestellter</w:t>
                  </w:r>
                </w:p>
                <w:p w14:paraId="45AFC894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Steuerkanzlei Dr. Hoffmann &amp; Partner, Frankfurt am Main</w:t>
                  </w:r>
                </w:p>
                <w:p w14:paraId="03AEB6BA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Betreuung eines eigenen Mandantenstamms (KMU, Freiberufler)</w:t>
                  </w:r>
                </w:p>
                <w:p w14:paraId="60A4B2B1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Erstellung von Einnahmen-Überschuss-Rechnungen und Steuererklärungen</w:t>
                  </w:r>
                </w:p>
                <w:p w14:paraId="29682830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Kommunikation mit Finanzämtern und Sozialversicherungsträgern</w:t>
                  </w:r>
                </w:p>
              </w:tc>
            </w:tr>
          </w:tbl>
          <w:p w14:paraId="2928F54C" w14:textId="77777777" w:rsidR="00F17CF5" w:rsidRDefault="00000000">
            <w:pPr>
              <w:pBdr>
                <w:bottom w:val="single" w:sz="12" w:space="4" w:color="C9A961"/>
              </w:pBdr>
              <w:spacing w:before="280" w:after="160"/>
            </w:pPr>
            <w:r>
              <w:rPr>
                <w:b/>
                <w:bCs/>
                <w:color w:val="1B4D3E"/>
                <w:sz w:val="26"/>
                <w:szCs w:val="26"/>
              </w:rPr>
              <w:t>AUSBILDUNG &amp; QUALIFIKATIONEN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5400"/>
            </w:tblGrid>
            <w:tr w:rsidR="00F17CF5" w14:paraId="4427FC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23572F9D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2018 – 2019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2CA6D0E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Geprüfter Bilanzbuchhalter (IHK)</w:t>
                  </w:r>
                </w:p>
                <w:p w14:paraId="0AC695D2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IHK Frankfurt am Main</w:t>
                  </w:r>
                </w:p>
                <w:p w14:paraId="7F6E43B2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Abschluss: Bilanzbuchhalter IHK mit Gesamtnote 'gut' (1,9)</w:t>
                  </w:r>
                </w:p>
              </w:tc>
            </w:tr>
            <w:tr w:rsidR="00F17CF5" w14:paraId="279DCC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D0F7A12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08/2009 – 07/2012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5CAD2C3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Ausbildung zum Steuerfachangestellten</w:t>
                  </w:r>
                </w:p>
                <w:p w14:paraId="310474F5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Steuerkanzlei Dr. Hoffmann &amp; Partner, Frankfurt am Main</w:t>
                  </w:r>
                </w:p>
                <w:p w14:paraId="1307A6FC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Abschluss: IHK-Prüfung mit der Note 'gut' (2,0)</w:t>
                  </w:r>
                </w:p>
              </w:tc>
            </w:tr>
            <w:tr w:rsidR="00F17CF5" w14:paraId="135904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6BAA7CB1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08/2000 – 06/2009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67E8E50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Allgemeine Hochschulreife</w:t>
                  </w:r>
                </w:p>
                <w:p w14:paraId="402637DA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Goethe-Gymnasium, Frankfurt am Main</w:t>
                  </w:r>
                </w:p>
                <w:p w14:paraId="15398728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Abschluss: Abitur (Note 2,4)</w:t>
                  </w:r>
                </w:p>
                <w:p w14:paraId="5B02BEA7" w14:textId="77777777" w:rsidR="00F17CF5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B2B2B"/>
                      <w:sz w:val="18"/>
                      <w:szCs w:val="18"/>
                    </w:rPr>
                    <w:t>Leistungskurse: Mathematik und Wirtschaft</w:t>
                  </w:r>
                </w:p>
              </w:tc>
            </w:tr>
          </w:tbl>
          <w:p w14:paraId="5910870A" w14:textId="77777777" w:rsidR="00F17CF5" w:rsidRDefault="00000000">
            <w:pPr>
              <w:pBdr>
                <w:bottom w:val="single" w:sz="12" w:space="4" w:color="C9A961"/>
              </w:pBdr>
              <w:spacing w:before="280" w:after="160"/>
            </w:pPr>
            <w:r>
              <w:rPr>
                <w:b/>
                <w:bCs/>
                <w:color w:val="1B4D3E"/>
                <w:sz w:val="26"/>
                <w:szCs w:val="26"/>
              </w:rPr>
              <w:t>WEITERBILDUNGEN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5400"/>
            </w:tblGrid>
            <w:tr w:rsidR="00F17CF5" w14:paraId="267BA0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6A196119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AAEED72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IFRS für Bilanzbuchhalter</w:t>
                  </w:r>
                </w:p>
                <w:p w14:paraId="53D827CC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lastRenderedPageBreak/>
                    <w:t>Haufe Akademie, online</w:t>
                  </w:r>
                </w:p>
              </w:tc>
            </w:tr>
            <w:tr w:rsidR="00F17CF5" w14:paraId="4FC83C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6FD628E0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5EB123D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Digitale Buchhaltung &amp; DATEV Unternehmen online</w:t>
                  </w:r>
                </w:p>
                <w:p w14:paraId="26276130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DATEV-Seminar, Frankfurt</w:t>
                  </w:r>
                </w:p>
              </w:tc>
            </w:tr>
            <w:tr w:rsidR="00F17CF5" w14:paraId="28E97B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FCC1182" w14:textId="77777777" w:rsidR="00F17CF5" w:rsidRDefault="00000000">
                  <w:r>
                    <w:rPr>
                      <w:b/>
                      <w:bCs/>
                      <w:color w:val="6B6B6B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2C89A91" w14:textId="77777777" w:rsidR="00F17C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2B2B2B"/>
                    </w:rPr>
                    <w:t>Umsatzsteuer im internationalen Warenverkehr</w:t>
                  </w:r>
                </w:p>
                <w:p w14:paraId="44DE8D8F" w14:textId="77777777" w:rsidR="00F17CF5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4D3E"/>
                      <w:sz w:val="18"/>
                      <w:szCs w:val="18"/>
                    </w:rPr>
                    <w:t>IHK Frankfurt</w:t>
                  </w:r>
                </w:p>
              </w:tc>
            </w:tr>
          </w:tbl>
          <w:p w14:paraId="2032803D" w14:textId="77777777" w:rsidR="00F17CF5" w:rsidRDefault="00F17CF5"/>
        </w:tc>
      </w:tr>
    </w:tbl>
    <w:p w14:paraId="43AE5126" w14:textId="77777777" w:rsidR="0069093A" w:rsidRDefault="0069093A"/>
    <w:sectPr w:rsidR="0069093A">
      <w:footerReference w:type="default" r:id="rId8"/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C6EE" w14:textId="77777777" w:rsidR="0069093A" w:rsidRDefault="0069093A">
      <w:r>
        <w:separator/>
      </w:r>
    </w:p>
  </w:endnote>
  <w:endnote w:type="continuationSeparator" w:id="0">
    <w:p w14:paraId="60A439A2" w14:textId="77777777" w:rsidR="0069093A" w:rsidRDefault="0069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B64E" w14:textId="77777777" w:rsidR="00F17CF5" w:rsidRDefault="00000000">
    <w:pPr>
      <w:jc w:val="center"/>
    </w:pPr>
    <w:r>
      <w:rPr>
        <w:color w:val="6B6B6B"/>
        <w:sz w:val="16"/>
        <w:szCs w:val="16"/>
      </w:rPr>
      <w:t xml:space="preserve">Michael Weber · Lebenslauf · Seite </w:t>
    </w:r>
    <w:r>
      <w:rPr>
        <w:color w:val="6B6B6B"/>
        <w:sz w:val="16"/>
        <w:szCs w:val="16"/>
      </w:rPr>
      <w:fldChar w:fldCharType="begin"/>
    </w:r>
    <w:r>
      <w:rPr>
        <w:color w:val="6B6B6B"/>
        <w:sz w:val="16"/>
        <w:szCs w:val="16"/>
      </w:rPr>
      <w:instrText>PAGE</w:instrText>
    </w:r>
    <w:r>
      <w:rPr>
        <w:color w:val="6B6B6B"/>
        <w:sz w:val="16"/>
        <w:szCs w:val="16"/>
      </w:rPr>
      <w:fldChar w:fldCharType="separate"/>
    </w:r>
    <w:r w:rsidR="001752F7">
      <w:rPr>
        <w:noProof/>
        <w:color w:val="6B6B6B"/>
        <w:sz w:val="16"/>
        <w:szCs w:val="16"/>
      </w:rPr>
      <w:t>1</w:t>
    </w:r>
    <w:r>
      <w:rPr>
        <w:color w:val="6B6B6B"/>
        <w:sz w:val="16"/>
        <w:szCs w:val="16"/>
      </w:rPr>
      <w:fldChar w:fldCharType="end"/>
    </w:r>
    <w:r>
      <w:rPr>
        <w:color w:val="6B6B6B"/>
        <w:sz w:val="16"/>
        <w:szCs w:val="16"/>
      </w:rPr>
      <w:t xml:space="preserve"> von </w:t>
    </w:r>
    <w:r>
      <w:rPr>
        <w:color w:val="6B6B6B"/>
        <w:sz w:val="16"/>
        <w:szCs w:val="16"/>
      </w:rPr>
      <w:fldChar w:fldCharType="begin"/>
    </w:r>
    <w:r>
      <w:rPr>
        <w:color w:val="6B6B6B"/>
        <w:sz w:val="16"/>
        <w:szCs w:val="16"/>
      </w:rPr>
      <w:instrText>NUMPAGES</w:instrText>
    </w:r>
    <w:r>
      <w:rPr>
        <w:color w:val="6B6B6B"/>
        <w:sz w:val="16"/>
        <w:szCs w:val="16"/>
      </w:rPr>
      <w:fldChar w:fldCharType="separate"/>
    </w:r>
    <w:r w:rsidR="001752F7">
      <w:rPr>
        <w:noProof/>
        <w:color w:val="6B6B6B"/>
        <w:sz w:val="16"/>
        <w:szCs w:val="16"/>
      </w:rPr>
      <w:t>2</w:t>
    </w:r>
    <w:r>
      <w:rPr>
        <w:color w:val="6B6B6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44BA" w14:textId="77777777" w:rsidR="0069093A" w:rsidRDefault="0069093A">
      <w:r>
        <w:separator/>
      </w:r>
    </w:p>
  </w:footnote>
  <w:footnote w:type="continuationSeparator" w:id="0">
    <w:p w14:paraId="65154E13" w14:textId="77777777" w:rsidR="0069093A" w:rsidRDefault="0069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059CD"/>
    <w:multiLevelType w:val="hybridMultilevel"/>
    <w:tmpl w:val="C58AE08C"/>
    <w:lvl w:ilvl="0" w:tplc="D4AA2292">
      <w:start w:val="1"/>
      <w:numFmt w:val="bullet"/>
      <w:lvlText w:val="▸"/>
      <w:lvlJc w:val="left"/>
      <w:pPr>
        <w:ind w:left="360" w:hanging="240"/>
      </w:pPr>
      <w:rPr>
        <w:color w:val="C9A961"/>
      </w:rPr>
    </w:lvl>
    <w:lvl w:ilvl="1" w:tplc="8F9CDDFC">
      <w:numFmt w:val="decimal"/>
      <w:lvlText w:val=""/>
      <w:lvlJc w:val="left"/>
    </w:lvl>
    <w:lvl w:ilvl="2" w:tplc="9F9A5B2A">
      <w:numFmt w:val="decimal"/>
      <w:lvlText w:val=""/>
      <w:lvlJc w:val="left"/>
    </w:lvl>
    <w:lvl w:ilvl="3" w:tplc="BD888336">
      <w:numFmt w:val="decimal"/>
      <w:lvlText w:val=""/>
      <w:lvlJc w:val="left"/>
    </w:lvl>
    <w:lvl w:ilvl="4" w:tplc="0D90A1CA">
      <w:numFmt w:val="decimal"/>
      <w:lvlText w:val=""/>
      <w:lvlJc w:val="left"/>
    </w:lvl>
    <w:lvl w:ilvl="5" w:tplc="5C4AEE84">
      <w:numFmt w:val="decimal"/>
      <w:lvlText w:val=""/>
      <w:lvlJc w:val="left"/>
    </w:lvl>
    <w:lvl w:ilvl="6" w:tplc="E2C8B07A">
      <w:numFmt w:val="decimal"/>
      <w:lvlText w:val=""/>
      <w:lvlJc w:val="left"/>
    </w:lvl>
    <w:lvl w:ilvl="7" w:tplc="C4928D38">
      <w:numFmt w:val="decimal"/>
      <w:lvlText w:val=""/>
      <w:lvlJc w:val="left"/>
    </w:lvl>
    <w:lvl w:ilvl="8" w:tplc="FFA05B70">
      <w:numFmt w:val="decimal"/>
      <w:lvlText w:val=""/>
      <w:lvlJc w:val="left"/>
    </w:lvl>
  </w:abstractNum>
  <w:abstractNum w:abstractNumId="1" w15:restartNumberingAfterBreak="0">
    <w:nsid w:val="7D6909CF"/>
    <w:multiLevelType w:val="hybridMultilevel"/>
    <w:tmpl w:val="954E515C"/>
    <w:lvl w:ilvl="0" w:tplc="C5A61024">
      <w:start w:val="1"/>
      <w:numFmt w:val="bullet"/>
      <w:lvlText w:val="●"/>
      <w:lvlJc w:val="left"/>
      <w:pPr>
        <w:ind w:left="720" w:hanging="360"/>
      </w:pPr>
    </w:lvl>
    <w:lvl w:ilvl="1" w:tplc="8632BD50">
      <w:start w:val="1"/>
      <w:numFmt w:val="bullet"/>
      <w:lvlText w:val="○"/>
      <w:lvlJc w:val="left"/>
      <w:pPr>
        <w:ind w:left="1440" w:hanging="360"/>
      </w:pPr>
    </w:lvl>
    <w:lvl w:ilvl="2" w:tplc="2E78188E">
      <w:start w:val="1"/>
      <w:numFmt w:val="bullet"/>
      <w:lvlText w:val="■"/>
      <w:lvlJc w:val="left"/>
      <w:pPr>
        <w:ind w:left="2160" w:hanging="360"/>
      </w:pPr>
    </w:lvl>
    <w:lvl w:ilvl="3" w:tplc="7AF6B662">
      <w:start w:val="1"/>
      <w:numFmt w:val="bullet"/>
      <w:lvlText w:val="●"/>
      <w:lvlJc w:val="left"/>
      <w:pPr>
        <w:ind w:left="2880" w:hanging="360"/>
      </w:pPr>
    </w:lvl>
    <w:lvl w:ilvl="4" w:tplc="482414DE">
      <w:start w:val="1"/>
      <w:numFmt w:val="bullet"/>
      <w:lvlText w:val="○"/>
      <w:lvlJc w:val="left"/>
      <w:pPr>
        <w:ind w:left="3600" w:hanging="360"/>
      </w:pPr>
    </w:lvl>
    <w:lvl w:ilvl="5" w:tplc="D63E87AE">
      <w:start w:val="1"/>
      <w:numFmt w:val="bullet"/>
      <w:lvlText w:val="■"/>
      <w:lvlJc w:val="left"/>
      <w:pPr>
        <w:ind w:left="4320" w:hanging="360"/>
      </w:pPr>
    </w:lvl>
    <w:lvl w:ilvl="6" w:tplc="99780BC8">
      <w:start w:val="1"/>
      <w:numFmt w:val="bullet"/>
      <w:lvlText w:val="●"/>
      <w:lvlJc w:val="left"/>
      <w:pPr>
        <w:ind w:left="5040" w:hanging="360"/>
      </w:pPr>
    </w:lvl>
    <w:lvl w:ilvl="7" w:tplc="31749942">
      <w:start w:val="1"/>
      <w:numFmt w:val="bullet"/>
      <w:lvlText w:val="●"/>
      <w:lvlJc w:val="left"/>
      <w:pPr>
        <w:ind w:left="5760" w:hanging="360"/>
      </w:pPr>
    </w:lvl>
    <w:lvl w:ilvl="8" w:tplc="1292CD16">
      <w:start w:val="1"/>
      <w:numFmt w:val="bullet"/>
      <w:lvlText w:val="●"/>
      <w:lvlJc w:val="left"/>
      <w:pPr>
        <w:ind w:left="6480" w:hanging="360"/>
      </w:pPr>
    </w:lvl>
  </w:abstractNum>
  <w:num w:numId="1" w16cid:durableId="2109420817">
    <w:abstractNumId w:val="1"/>
    <w:lvlOverride w:ilvl="0">
      <w:startOverride w:val="1"/>
    </w:lvlOverride>
  </w:num>
  <w:num w:numId="2" w16cid:durableId="1554584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F5"/>
    <w:rsid w:val="00012886"/>
    <w:rsid w:val="001752F7"/>
    <w:rsid w:val="0069093A"/>
    <w:rsid w:val="00F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1CFB"/>
  <w15:docId w15:val="{2348AD83-B9AE-4647-91D3-9E12F697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2026-05-16T09:33:00Z</dcterms:created>
  <dcterms:modified xsi:type="dcterms:W3CDTF">2026-05-16T10:52:00Z</dcterms:modified>
</cp:coreProperties>
</file>